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5504" w14:textId="77777777" w:rsidR="00D96C55" w:rsidRPr="00877111" w:rsidRDefault="00D96C55" w:rsidP="00D96C55">
      <w:pPr>
        <w:snapToGrid w:val="0"/>
        <w:spacing w:line="480" w:lineRule="auto"/>
        <w:jc w:val="center"/>
        <w:rPr>
          <w:b/>
        </w:rPr>
      </w:pPr>
      <w:bookmarkStart w:id="0" w:name="_Hlk170290116"/>
      <w:bookmarkStart w:id="1" w:name="_Hlk90830355"/>
      <w:bookmarkEnd w:id="0"/>
      <w:r w:rsidRPr="001023DB">
        <w:rPr>
          <w:rFonts w:eastAsia="Times New Roman"/>
          <w:b/>
        </w:rPr>
        <w:t xml:space="preserve">Wealth or generosity? </w:t>
      </w:r>
      <w:r>
        <w:rPr>
          <w:rFonts w:eastAsia="Times New Roman"/>
          <w:b/>
        </w:rPr>
        <w:t>People choose partners based on whichever is more variable</w:t>
      </w:r>
    </w:p>
    <w:bookmarkEnd w:id="1"/>
    <w:p w14:paraId="528F679F" w14:textId="12C68D0A" w:rsidR="00D96C55" w:rsidRPr="00162C45" w:rsidRDefault="00162C45" w:rsidP="00162C45">
      <w:pPr>
        <w:snapToGrid w:val="0"/>
        <w:spacing w:line="480" w:lineRule="auto"/>
        <w:jc w:val="center"/>
        <w:rPr>
          <w:vertAlign w:val="superscript"/>
        </w:rPr>
      </w:pPr>
      <w:r>
        <w:t>Yuta Kawamura</w:t>
      </w:r>
      <w:r>
        <w:rPr>
          <w:vertAlign w:val="superscript"/>
        </w:rPr>
        <w:t>1</w:t>
      </w:r>
      <w:r>
        <w:t xml:space="preserve"> &amp; Pat Barclay</w:t>
      </w:r>
      <w:r w:rsidRPr="00162C45">
        <w:rPr>
          <w:vertAlign w:val="superscript"/>
        </w:rPr>
        <w:t>2</w:t>
      </w:r>
    </w:p>
    <w:p w14:paraId="45A3C576" w14:textId="2972CFAB" w:rsidR="00162C45" w:rsidRDefault="00162C45" w:rsidP="00D96C55">
      <w:pPr>
        <w:snapToGrid w:val="0"/>
        <w:spacing w:line="480" w:lineRule="auto"/>
        <w:jc w:val="center"/>
        <w:rPr>
          <w:rFonts w:eastAsia="Times New Roman"/>
          <w:b/>
        </w:rPr>
      </w:pPr>
      <w:r>
        <w:rPr>
          <w:rFonts w:eastAsia="Times New Roman"/>
          <w:b/>
        </w:rPr>
        <w:t>This is the final submitted version of the manuscript.</w:t>
      </w:r>
    </w:p>
    <w:p w14:paraId="00532679" w14:textId="77777777" w:rsidR="00162C45" w:rsidRDefault="00162C45" w:rsidP="00D96C55">
      <w:pPr>
        <w:snapToGrid w:val="0"/>
        <w:spacing w:line="480" w:lineRule="auto"/>
        <w:jc w:val="center"/>
        <w:rPr>
          <w:rFonts w:eastAsia="Times New Roman"/>
          <w:b/>
        </w:rPr>
      </w:pPr>
    </w:p>
    <w:p w14:paraId="628731A0" w14:textId="67A1CF8A" w:rsidR="00D96C55" w:rsidRPr="00877111" w:rsidRDefault="00D96C55" w:rsidP="00D96C55">
      <w:pPr>
        <w:snapToGrid w:val="0"/>
        <w:spacing w:line="480" w:lineRule="auto"/>
        <w:jc w:val="center"/>
        <w:rPr>
          <w:b/>
        </w:rPr>
      </w:pPr>
      <w:r w:rsidRPr="00877111">
        <w:rPr>
          <w:rFonts w:eastAsia="Times New Roman"/>
          <w:b/>
        </w:rPr>
        <w:t>Abstract</w:t>
      </w:r>
    </w:p>
    <w:p w14:paraId="2BD4B745" w14:textId="491DDE09" w:rsidR="00D96C55" w:rsidRPr="00877111" w:rsidRDefault="00DF4343" w:rsidP="00D96C55">
      <w:pPr>
        <w:snapToGrid w:val="0"/>
        <w:spacing w:line="480" w:lineRule="auto"/>
        <w:jc w:val="left"/>
      </w:pPr>
      <w:r>
        <w:rPr>
          <w:rFonts w:eastAsia="Times New Roman"/>
          <w:color w:val="000000"/>
        </w:rPr>
        <w:t xml:space="preserve">Organisms benefit from choosing partners who are willing and able to provide them with benefits (e.g., </w:t>
      </w:r>
      <w:r w:rsidR="002661F3">
        <w:rPr>
          <w:rFonts w:eastAsia="Times New Roman"/>
          <w:color w:val="000000"/>
        </w:rPr>
        <w:t xml:space="preserve">choose based on </w:t>
      </w:r>
      <w:r>
        <w:rPr>
          <w:rFonts w:eastAsia="Times New Roman"/>
          <w:color w:val="000000"/>
        </w:rPr>
        <w:t>warmth</w:t>
      </w:r>
      <w:r w:rsidR="002661F3">
        <w:rPr>
          <w:rFonts w:eastAsia="Times New Roman"/>
          <w:color w:val="000000"/>
        </w:rPr>
        <w:t>,</w:t>
      </w:r>
      <w:r>
        <w:rPr>
          <w:rFonts w:eastAsia="Times New Roman"/>
          <w:color w:val="000000"/>
        </w:rPr>
        <w:t xml:space="preserve"> competence</w:t>
      </w:r>
      <w:r w:rsidR="002661F3">
        <w:rPr>
          <w:rFonts w:eastAsia="Times New Roman"/>
          <w:color w:val="000000"/>
        </w:rPr>
        <w:t>, wealth</w:t>
      </w:r>
      <w:r>
        <w:rPr>
          <w:rFonts w:eastAsia="Times New Roman"/>
          <w:color w:val="000000"/>
        </w:rPr>
        <w:t xml:space="preserve">). But which should they prefer in a partner – willingness or abilities? We tested the hypothesis that people will focus on whichever trait is more variable in others: the more variance there is in a trait, the greater the difference there is between the “best” and “worst”, so the more that trait will impact the chooser (all else equal). </w:t>
      </w:r>
      <w:r w:rsidR="00F569A6">
        <w:rPr>
          <w:rFonts w:eastAsia="Times New Roman"/>
          <w:color w:val="000000"/>
        </w:rPr>
        <w:t xml:space="preserve">In two studies, participants saw a range of partners for a hypothetical money distribution task who either varied more in the amount of money they had to distribute (Unequal Wealth condition) or in the percent of their money they gave away (Unequal Generosity condition). Participants had a default preference to know about others’ generosity rather than their wealth; this preference was strengthened when others varied more in generosity and weakened when others varied more in wealth. Thus, our study shows that people are sensitive to the amount of population variance on a trait, and flexibly adjust their partner preferences to focus on traits which vary more among others. </w:t>
      </w:r>
    </w:p>
    <w:p w14:paraId="1A87AA69" w14:textId="46DF005C" w:rsidR="00D96C55" w:rsidRDefault="00D96C55" w:rsidP="00D96C55">
      <w:pPr>
        <w:snapToGrid w:val="0"/>
        <w:spacing w:line="480" w:lineRule="auto"/>
      </w:pPr>
      <w:r w:rsidRPr="00877111">
        <w:rPr>
          <w:rFonts w:eastAsia="Times New Roman"/>
          <w:b/>
          <w:bCs/>
          <w:iCs/>
        </w:rPr>
        <w:t>Keywords:</w:t>
      </w:r>
      <w:r w:rsidRPr="00877111">
        <w:rPr>
          <w:rFonts w:eastAsia="Times New Roman"/>
          <w:i/>
        </w:rPr>
        <w:t xml:space="preserve"> </w:t>
      </w:r>
      <w:r w:rsidRPr="00877111">
        <w:rPr>
          <w:rFonts w:eastAsia="Times New Roman"/>
        </w:rPr>
        <w:t xml:space="preserve">altruism, cooperation, costly signal, </w:t>
      </w:r>
      <w:r>
        <w:rPr>
          <w:rFonts w:hint="eastAsia"/>
        </w:rPr>
        <w:t>partner choice</w:t>
      </w:r>
      <w:r w:rsidRPr="00877111">
        <w:rPr>
          <w:rFonts w:eastAsia="Times New Roman"/>
        </w:rPr>
        <w:t xml:space="preserve">, </w:t>
      </w:r>
      <w:r>
        <w:rPr>
          <w:rFonts w:hint="eastAsia"/>
        </w:rPr>
        <w:t>inequality</w:t>
      </w:r>
      <w:r w:rsidR="00DF4343">
        <w:t>, variation</w:t>
      </w:r>
    </w:p>
    <w:p w14:paraId="3C1BF2A7" w14:textId="18372AF7" w:rsidR="00162C45" w:rsidRDefault="00162C45" w:rsidP="00D96C55">
      <w:pPr>
        <w:snapToGrid w:val="0"/>
        <w:spacing w:line="480" w:lineRule="auto"/>
      </w:pPr>
      <w:r>
        <w:t>1. Graduate School of Sustainable System Sciences, Osaka Metropolitan University</w:t>
      </w:r>
    </w:p>
    <w:p w14:paraId="1BC8E1A6" w14:textId="03426FC1" w:rsidR="00162C45" w:rsidRPr="001023DB" w:rsidRDefault="00162C45" w:rsidP="00D96C55">
      <w:pPr>
        <w:snapToGrid w:val="0"/>
        <w:spacing w:line="480" w:lineRule="auto"/>
      </w:pPr>
      <w:r>
        <w:t>2. Department of Psychology, University of Guelph</w:t>
      </w:r>
    </w:p>
    <w:p w14:paraId="61A1378A" w14:textId="77777777" w:rsidR="00D96C55" w:rsidRPr="00877111" w:rsidRDefault="00D96C55" w:rsidP="00D96C55">
      <w:pPr>
        <w:widowControl/>
        <w:jc w:val="left"/>
      </w:pPr>
      <w:r w:rsidRPr="00877111">
        <w:br w:type="page"/>
      </w:r>
    </w:p>
    <w:p w14:paraId="00DC8839" w14:textId="77777777" w:rsidR="00D96C55" w:rsidRPr="00877111" w:rsidRDefault="00D96C55" w:rsidP="00D96C55">
      <w:pPr>
        <w:snapToGrid w:val="0"/>
        <w:spacing w:line="480" w:lineRule="auto"/>
        <w:jc w:val="center"/>
        <w:rPr>
          <w:b/>
        </w:rPr>
      </w:pPr>
      <w:r w:rsidRPr="00877111">
        <w:rPr>
          <w:rFonts w:eastAsia="Times New Roman"/>
          <w:b/>
        </w:rPr>
        <w:lastRenderedPageBreak/>
        <w:t>1. Introduction</w:t>
      </w:r>
    </w:p>
    <w:p w14:paraId="4F78D603" w14:textId="1778978F" w:rsidR="00F15828" w:rsidRDefault="00D96C55" w:rsidP="00D96C55">
      <w:pPr>
        <w:spacing w:line="480" w:lineRule="auto"/>
        <w:ind w:firstLine="567"/>
      </w:pPr>
      <w:r>
        <w:t>Partner choice is a driving force in the evolution of cooperation. When organisms can choose whom to interact with, the best cooperators benefit from assorting with each other, thus selecting for cooperation (reviewed by Barclay, 2016; Schino &amp; Aureli, 2017). Organisms also benefit from signaling their cooperativeness, as this is one means of competing in the “biological market” over partners (e.g., Barclay, 2011, 2013; Barclay et al., 2021; Noë &amp; Hammerstein, 1994, 1995; Roberts et al., 2021). This can result in an escalation of cooperation through a process of competitive altruism (Barclay, 2004; Barclay &amp; Barker, 2004; Barclay &amp; Willer, 2007; Sylwester &amp; Roberts, 2010). But what exactly makes one a “good” partner?</w:t>
      </w:r>
    </w:p>
    <w:p w14:paraId="7A5EE2CB" w14:textId="3289A27C" w:rsidR="00D96C55" w:rsidRDefault="00D96C55" w:rsidP="00D96C55">
      <w:pPr>
        <w:spacing w:line="480" w:lineRule="auto"/>
        <w:ind w:firstLine="567"/>
      </w:pPr>
      <w:r>
        <w:t>The best partners are those who provide the most benefits while imposing the fewest costs. Thus, organisms should seek partners who are willing, able, and available to provide benefits (Barclay, 2013, 2015, 2016). These functional categories are then perceived as traits like warmth (willingness); competence, wealth or status (ability); and proximity (availability). Indeed, warmth and competence are two dimensions on which people universally assess others (reviewed by Fiske et al., 2007).</w:t>
      </w:r>
    </w:p>
    <w:p w14:paraId="1521AF20" w14:textId="26B99EB8" w:rsidR="00D96C55" w:rsidRDefault="00D96C55" w:rsidP="00D96C55">
      <w:pPr>
        <w:spacing w:line="480" w:lineRule="auto"/>
        <w:ind w:firstLine="567"/>
      </w:pPr>
      <w:r>
        <w:t>What’s more important in a partner: their willingness to provide benefits (e.g., warmth) or their ability to do so (e.g., competence, wealth, status)? How should people trade off these traits against each other? The answer depends on which trait contributes more to one’s benefits, and this varies across situations. Some traits have more impact in some environments, such as a mate’s attractiveness – a cue of pathogen resistance – being more valued in places with many pathogens (Gangestad &amp; Buss, 1993). Also, the stability of the trait matters: Raihani and Barclay (2016) showed that people had weaker preferences for a partner’s wealth in an economic game when that wealth was unstable.</w:t>
      </w:r>
    </w:p>
    <w:p w14:paraId="2575BB92" w14:textId="29423440" w:rsidR="00D96C55" w:rsidRDefault="00D96C55" w:rsidP="00D96C55">
      <w:pPr>
        <w:spacing w:line="480" w:lineRule="auto"/>
        <w:ind w:firstLine="567"/>
      </w:pPr>
      <w:r>
        <w:lastRenderedPageBreak/>
        <w:t>In particular, the variation in the population matters: the more that people vary on an important trait like willingness to give, the more that others should choose based on that trait. After all, it only pays to choose partners on traits that vary between individuals – if individuals do not vary on the trait, then there’s little point in expending energy to assess or value that trait. This is a general feature of signaling and partner choice: discriminating amongst individuals only pays off when individuals vary, whether in dyadic cooperation (e.g., McNamara et al., 2004, 2008; McNamara &amp; Leimar, 2010; Sherratt &amp; Roberts, 2001), mutualisms (Ferriere et al., 2002, Foster &amp; Kokko, 2006), mating decisions (e.g., “lek paradox”, Kokko et al., 2003), assessments of fighting ability (McNamara &amp; Leimar, 2010), partner choice (McNamara et al., 2008), costly signaling in general (Searcy &amp; Nowicki, 2005), or cognition in general.</w:t>
      </w:r>
    </w:p>
    <w:p w14:paraId="41B506E6" w14:textId="73A9A833" w:rsidR="00D96C55" w:rsidRDefault="00D96C55" w:rsidP="00D96C55">
      <w:pPr>
        <w:spacing w:line="480" w:lineRule="auto"/>
        <w:ind w:firstLine="567"/>
      </w:pPr>
      <w:r>
        <w:t>In the context of cooperation, the more that potential partners vary in willingness, then the bigger the difference between those who are highly willing versus unwilling, so the more impact that willingness has on a partner’s payoff; a similar argument holds for ability. Recently, Eisenbruch and Krasnow (2022) supported this hypothesis using agent-based models: stronger preferences for warmth will evolve when warmth varies more in a population, and stronger preferences for competence will evolve when competence varies more. Eisenbruch and Krasnow (2022) also argue that warmth varied more in ancestral environments</w:t>
      </w:r>
      <w:r w:rsidR="00980D83">
        <w:rPr>
          <w:rFonts w:hint="eastAsia"/>
        </w:rPr>
        <w:t xml:space="preserve"> </w:t>
      </w:r>
      <w:r w:rsidR="00980D83" w:rsidRPr="00243E37">
        <w:rPr>
          <w:rFonts w:hint="eastAsia"/>
          <w:shd w:val="pct15" w:color="auto" w:fill="FFFFFF"/>
        </w:rPr>
        <w:t>than competence</w:t>
      </w:r>
      <w:r>
        <w:t xml:space="preserve">, for example due to interpersonal conflicts, such that people have a default prioritization for </w:t>
      </w:r>
      <w:r w:rsidR="00980D83" w:rsidRPr="00243E37">
        <w:rPr>
          <w:rFonts w:hint="eastAsia"/>
          <w:shd w:val="pct15" w:color="auto" w:fill="FFFFFF"/>
        </w:rPr>
        <w:t>a</w:t>
      </w:r>
      <w:r w:rsidR="00980D83">
        <w:rPr>
          <w:rFonts w:hint="eastAsia"/>
        </w:rPr>
        <w:t xml:space="preserve"> </w:t>
      </w:r>
      <w:r>
        <w:t xml:space="preserve">partner’s warmth. </w:t>
      </w:r>
    </w:p>
    <w:p w14:paraId="267F5F2A" w14:textId="77777777" w:rsidR="00676E4A" w:rsidRDefault="00D96C55" w:rsidP="00D96C55">
      <w:pPr>
        <w:spacing w:line="480" w:lineRule="auto"/>
        <w:ind w:firstLine="567"/>
      </w:pPr>
      <w:r>
        <w:t xml:space="preserve">Here we experimentally test whether people place more value on a partner’s generosity when partners vary in generosity, and more value on a partner’s ability to give when partners vary in their ability to give. In two studies, we present participants with a pool of hypothetical partners who vary in either their ability to split money with a partner (i.e., size of their monetary </w:t>
      </w:r>
      <w:r>
        <w:lastRenderedPageBreak/>
        <w:t xml:space="preserve">endowment; Unequal Wealth condition) or their willingness to split money with a partner (i.e., percent of endowment given to their partner; Unequal Generosity condition). We then ask participants which information they want about potential partners before choosing – their endowment or the percent they gave. We predicted that participants would seek wealth information in the Unequal Wealth condition and generosity information in the Unequal Generosity condition. </w:t>
      </w:r>
    </w:p>
    <w:p w14:paraId="2957C32F" w14:textId="493E861C" w:rsidR="006F551B" w:rsidRPr="006F551B" w:rsidRDefault="00676E4A" w:rsidP="00D96C55">
      <w:pPr>
        <w:spacing w:line="480" w:lineRule="auto"/>
        <w:ind w:firstLine="567"/>
      </w:pPr>
      <w:r>
        <w:rPr>
          <w:rFonts w:hint="eastAsia"/>
        </w:rPr>
        <w:t>T</w:t>
      </w:r>
      <w:r w:rsidR="00D96C55">
        <w:t>hese studies were approved by the ethics committee of [university name redacted for blind review]</w:t>
      </w:r>
      <w:r>
        <w:rPr>
          <w:rFonts w:hint="eastAsia"/>
        </w:rPr>
        <w:t xml:space="preserve">; </w:t>
      </w:r>
      <w:r>
        <w:t>All participants provided informed consent</w:t>
      </w:r>
      <w:r w:rsidR="00D96C55">
        <w:t xml:space="preserve">. </w:t>
      </w:r>
      <w:r w:rsidR="00C53FEE">
        <w:rPr>
          <w:rFonts w:hint="eastAsia"/>
        </w:rPr>
        <w:t xml:space="preserve">Our preregistration can be accessed at: </w:t>
      </w:r>
      <w:hyperlink r:id="rId7" w:history="1">
        <w:r w:rsidR="00C05BAF" w:rsidRPr="00470942">
          <w:rPr>
            <w:rStyle w:val="Hyperlink"/>
          </w:rPr>
          <w:t>https://osf.io/hwzd4</w:t>
        </w:r>
      </w:hyperlink>
      <w:r w:rsidR="00C05BAF">
        <w:rPr>
          <w:rFonts w:hint="eastAsia"/>
        </w:rPr>
        <w:t xml:space="preserve"> </w:t>
      </w:r>
      <w:r w:rsidR="006F551B">
        <w:rPr>
          <w:rFonts w:hint="eastAsia"/>
        </w:rPr>
        <w:t>and</w:t>
      </w:r>
      <w:r w:rsidR="00C05BAF">
        <w:rPr>
          <w:rFonts w:hint="eastAsia"/>
        </w:rPr>
        <w:t xml:space="preserve"> </w:t>
      </w:r>
      <w:hyperlink r:id="rId8" w:history="1">
        <w:r w:rsidR="00C05BAF" w:rsidRPr="00470942">
          <w:rPr>
            <w:rStyle w:val="Hyperlink"/>
          </w:rPr>
          <w:t>https://osf.io/8jt7s</w:t>
        </w:r>
      </w:hyperlink>
      <w:r w:rsidR="00C53FEE">
        <w:rPr>
          <w:rFonts w:hint="eastAsia"/>
        </w:rPr>
        <w:t xml:space="preserve">. </w:t>
      </w:r>
      <w:r w:rsidR="00C53FEE" w:rsidRPr="00877111">
        <w:rPr>
          <w:rFonts w:eastAsia="Times New Roman"/>
        </w:rPr>
        <w:t xml:space="preserve">Data and R code can be found at </w:t>
      </w:r>
      <w:hyperlink r:id="rId9" w:history="1">
        <w:r w:rsidR="006F551B" w:rsidRPr="00470942">
          <w:rPr>
            <w:rStyle w:val="Hyperlink"/>
            <w:rFonts w:eastAsia="Times New Roman"/>
          </w:rPr>
          <w:t>https://osf.io/274ej/?view_only=85fa9b198df148e68fca3cc18d6a3ddb</w:t>
        </w:r>
      </w:hyperlink>
      <w:r w:rsidR="006F551B">
        <w:rPr>
          <w:rFonts w:hint="eastAsia"/>
        </w:rPr>
        <w:t>.</w:t>
      </w:r>
    </w:p>
    <w:p w14:paraId="48CA6E80" w14:textId="77777777" w:rsidR="00D96C55" w:rsidRPr="00AD224D" w:rsidRDefault="00D96C55" w:rsidP="00D96C55">
      <w:pPr>
        <w:snapToGrid w:val="0"/>
        <w:spacing w:line="480" w:lineRule="auto"/>
        <w:jc w:val="center"/>
        <w:rPr>
          <w:b/>
        </w:rPr>
      </w:pPr>
      <w:r w:rsidRPr="00877111">
        <w:rPr>
          <w:rFonts w:eastAsia="Times New Roman"/>
          <w:b/>
        </w:rPr>
        <w:t xml:space="preserve">2. </w:t>
      </w:r>
      <w:r>
        <w:rPr>
          <w:rFonts w:hint="eastAsia"/>
          <w:b/>
        </w:rPr>
        <w:t>Study 1</w:t>
      </w:r>
    </w:p>
    <w:p w14:paraId="6F13A56A" w14:textId="255E4212" w:rsidR="00C53FEE" w:rsidRPr="00AD224D" w:rsidRDefault="00D96C55" w:rsidP="00D96C55">
      <w:pPr>
        <w:snapToGrid w:val="0"/>
        <w:spacing w:line="480" w:lineRule="auto"/>
        <w:rPr>
          <w:b/>
        </w:rPr>
      </w:pPr>
      <w:r w:rsidRPr="00877111">
        <w:rPr>
          <w:rFonts w:eastAsia="Times New Roman"/>
          <w:b/>
        </w:rPr>
        <w:t xml:space="preserve">2.1. </w:t>
      </w:r>
      <w:r>
        <w:rPr>
          <w:rFonts w:hint="eastAsia"/>
          <w:b/>
        </w:rPr>
        <w:t>Methods</w:t>
      </w:r>
    </w:p>
    <w:p w14:paraId="65E4A0D1" w14:textId="7729FEEB" w:rsidR="00D96C55" w:rsidRPr="00BF6B8F" w:rsidRDefault="00D96C55" w:rsidP="00D96C55">
      <w:pPr>
        <w:snapToGrid w:val="0"/>
        <w:spacing w:line="480" w:lineRule="auto"/>
        <w:ind w:firstLine="840"/>
      </w:pPr>
      <w:r w:rsidRPr="00877111">
        <w:rPr>
          <w:rFonts w:eastAsia="Times New Roman"/>
          <w:b/>
        </w:rPr>
        <w:t xml:space="preserve">Participants and </w:t>
      </w:r>
      <w:r>
        <w:rPr>
          <w:rFonts w:eastAsia="Times New Roman"/>
          <w:b/>
        </w:rPr>
        <w:t>s</w:t>
      </w:r>
      <w:r w:rsidRPr="00877111">
        <w:rPr>
          <w:rFonts w:eastAsia="Times New Roman"/>
          <w:b/>
        </w:rPr>
        <w:t xml:space="preserve">tudy </w:t>
      </w:r>
      <w:r>
        <w:rPr>
          <w:rFonts w:eastAsia="Times New Roman"/>
          <w:b/>
        </w:rPr>
        <w:t>d</w:t>
      </w:r>
      <w:r w:rsidRPr="00877111">
        <w:rPr>
          <w:rFonts w:eastAsia="Times New Roman"/>
          <w:b/>
        </w:rPr>
        <w:t>esign</w:t>
      </w:r>
      <w:r>
        <w:rPr>
          <w:rFonts w:hint="eastAsia"/>
          <w:b/>
        </w:rPr>
        <w:t>.</w:t>
      </w:r>
      <w:r>
        <w:rPr>
          <w:rFonts w:hint="eastAsia"/>
        </w:rPr>
        <w:t xml:space="preserve"> Three hundred and fifty US </w:t>
      </w:r>
      <w:r w:rsidRPr="00877111">
        <w:rPr>
          <w:rFonts w:eastAsia="Times New Roman"/>
        </w:rPr>
        <w:t>participants (</w:t>
      </w:r>
      <w:r>
        <w:rPr>
          <w:rFonts w:hint="eastAsia"/>
        </w:rPr>
        <w:t>186</w:t>
      </w:r>
      <w:r w:rsidRPr="00877111">
        <w:rPr>
          <w:rFonts w:eastAsia="Times New Roman"/>
        </w:rPr>
        <w:t xml:space="preserve"> men, </w:t>
      </w:r>
      <w:r>
        <w:rPr>
          <w:rFonts w:hint="eastAsia"/>
        </w:rPr>
        <w:t>163</w:t>
      </w:r>
      <w:r w:rsidRPr="00877111">
        <w:rPr>
          <w:rFonts w:eastAsia="Times New Roman"/>
        </w:rPr>
        <w:t xml:space="preserve"> women</w:t>
      </w:r>
      <w:r>
        <w:rPr>
          <w:rFonts w:hint="eastAsia"/>
        </w:rPr>
        <w:t xml:space="preserve">, 1 other; </w:t>
      </w:r>
      <w:r w:rsidRPr="00001CF2">
        <w:rPr>
          <w:rFonts w:hint="eastAsia"/>
          <w:i/>
          <w:iCs/>
        </w:rPr>
        <w:t>M</w:t>
      </w:r>
      <w:r w:rsidRPr="00001CF2">
        <w:rPr>
          <w:rFonts w:hint="eastAsia"/>
          <w:vertAlign w:val="subscript"/>
        </w:rPr>
        <w:t>age</w:t>
      </w:r>
      <w:r>
        <w:rPr>
          <w:rFonts w:hint="eastAsia"/>
        </w:rPr>
        <w:t xml:space="preserve"> = 39.98, </w:t>
      </w:r>
      <w:r w:rsidRPr="00877111">
        <w:rPr>
          <w:rFonts w:eastAsia="Times New Roman"/>
          <w:i/>
        </w:rPr>
        <w:t>SD</w:t>
      </w:r>
      <w:r w:rsidRPr="00001CF2">
        <w:rPr>
          <w:rFonts w:hint="eastAsia"/>
          <w:vertAlign w:val="subscript"/>
        </w:rPr>
        <w:t>age</w:t>
      </w:r>
      <w:r w:rsidRPr="00877111">
        <w:rPr>
          <w:rFonts w:eastAsia="Times New Roman"/>
        </w:rPr>
        <w:t xml:space="preserve"> = 1</w:t>
      </w:r>
      <w:r>
        <w:rPr>
          <w:rFonts w:hint="eastAsia"/>
        </w:rPr>
        <w:t>2</w:t>
      </w:r>
      <w:r w:rsidRPr="00877111">
        <w:rPr>
          <w:rFonts w:eastAsia="Times New Roman"/>
        </w:rPr>
        <w:t>.</w:t>
      </w:r>
      <w:r>
        <w:rPr>
          <w:rFonts w:hint="eastAsia"/>
        </w:rPr>
        <w:t>28</w:t>
      </w:r>
      <w:r w:rsidRPr="00877111">
        <w:rPr>
          <w:rFonts w:eastAsia="Times New Roman"/>
        </w:rPr>
        <w:t>; range: 1</w:t>
      </w:r>
      <w:r>
        <w:rPr>
          <w:rFonts w:hint="eastAsia"/>
        </w:rPr>
        <w:t>9</w:t>
      </w:r>
      <w:r w:rsidRPr="00877111">
        <w:rPr>
          <w:rFonts w:eastAsia="Times New Roman"/>
        </w:rPr>
        <w:t>–</w:t>
      </w:r>
      <w:r>
        <w:rPr>
          <w:rFonts w:hint="eastAsia"/>
        </w:rPr>
        <w:t>78</w:t>
      </w:r>
      <w:r w:rsidRPr="00877111">
        <w:rPr>
          <w:rFonts w:eastAsia="Times New Roman"/>
        </w:rPr>
        <w:t xml:space="preserve">) </w:t>
      </w:r>
      <w:r>
        <w:rPr>
          <w:rFonts w:hint="eastAsia"/>
        </w:rPr>
        <w:t xml:space="preserve">were recruited in December 2020 </w:t>
      </w:r>
      <w:r w:rsidRPr="00877111">
        <w:rPr>
          <w:rFonts w:eastAsia="Times New Roman"/>
        </w:rPr>
        <w:t xml:space="preserve">from </w:t>
      </w:r>
      <w:r>
        <w:rPr>
          <w:rFonts w:hint="eastAsia"/>
        </w:rPr>
        <w:t>Amazon Mechanical Turk</w:t>
      </w:r>
      <w:r w:rsidR="0041535C">
        <w:rPr>
          <w:rFonts w:hint="eastAsia"/>
        </w:rPr>
        <w:t xml:space="preserve"> </w:t>
      </w:r>
      <w:r w:rsidR="00E24491">
        <w:rPr>
          <w:rFonts w:hint="eastAsia"/>
        </w:rPr>
        <w:t>via CloudResearch</w:t>
      </w:r>
      <w:r w:rsidRPr="00877111">
        <w:rPr>
          <w:rFonts w:eastAsia="Times New Roman"/>
        </w:rPr>
        <w:t>. The study used a between-participants factorial design</w:t>
      </w:r>
      <w:r>
        <w:rPr>
          <w:rFonts w:eastAsia="Times New Roman"/>
        </w:rPr>
        <w:t>:</w:t>
      </w:r>
      <w:r>
        <w:rPr>
          <w:rFonts w:hint="eastAsia"/>
        </w:rPr>
        <w:t xml:space="preserve"> each participant was randomly assigned to either </w:t>
      </w:r>
      <w:r w:rsidR="002661F3">
        <w:t>the U</w:t>
      </w:r>
      <w:r>
        <w:rPr>
          <w:rFonts w:hint="eastAsia"/>
        </w:rPr>
        <w:t>nequal</w:t>
      </w:r>
      <w:r w:rsidRPr="00B77251">
        <w:rPr>
          <w:rFonts w:eastAsia="Times New Roman"/>
        </w:rPr>
        <w:t xml:space="preserve"> </w:t>
      </w:r>
      <w:r w:rsidR="002661F3">
        <w:rPr>
          <w:rFonts w:eastAsia="Times New Roman"/>
        </w:rPr>
        <w:t>G</w:t>
      </w:r>
      <w:r>
        <w:rPr>
          <w:rFonts w:hint="eastAsia"/>
        </w:rPr>
        <w:t>enerosity</w:t>
      </w:r>
      <w:r w:rsidRPr="00B77251">
        <w:rPr>
          <w:rFonts w:eastAsia="Times New Roman"/>
        </w:rPr>
        <w:t xml:space="preserve"> </w:t>
      </w:r>
      <w:r>
        <w:rPr>
          <w:rFonts w:hint="eastAsia"/>
        </w:rPr>
        <w:t>(</w:t>
      </w:r>
      <w:r w:rsidRPr="00F7769E">
        <w:rPr>
          <w:i/>
          <w:iCs/>
        </w:rPr>
        <w:t>n</w:t>
      </w:r>
      <w:r w:rsidRPr="00D64804">
        <w:t xml:space="preserve"> = 1</w:t>
      </w:r>
      <w:r>
        <w:rPr>
          <w:rFonts w:hint="eastAsia"/>
        </w:rPr>
        <w:t>75) or</w:t>
      </w:r>
      <w:r w:rsidRPr="00877111">
        <w:rPr>
          <w:rFonts w:eastAsia="Times New Roman"/>
        </w:rPr>
        <w:t xml:space="preserve"> </w:t>
      </w:r>
      <w:r w:rsidR="002661F3">
        <w:rPr>
          <w:rFonts w:eastAsia="Times New Roman"/>
        </w:rPr>
        <w:t>U</w:t>
      </w:r>
      <w:r>
        <w:rPr>
          <w:rFonts w:hint="eastAsia"/>
        </w:rPr>
        <w:t xml:space="preserve">nequal </w:t>
      </w:r>
      <w:r w:rsidR="002661F3">
        <w:t>W</w:t>
      </w:r>
      <w:r>
        <w:rPr>
          <w:rFonts w:hint="eastAsia"/>
        </w:rPr>
        <w:t>ealth (</w:t>
      </w:r>
      <w:r w:rsidRPr="00F7769E">
        <w:rPr>
          <w:i/>
          <w:iCs/>
        </w:rPr>
        <w:t>n</w:t>
      </w:r>
      <w:r w:rsidRPr="00D64804">
        <w:t xml:space="preserve"> = 1</w:t>
      </w:r>
      <w:r>
        <w:rPr>
          <w:rFonts w:hint="eastAsia"/>
        </w:rPr>
        <w:t>75) condition</w:t>
      </w:r>
      <w:r w:rsidRPr="00877111">
        <w:rPr>
          <w:rFonts w:eastAsia="Times New Roman"/>
        </w:rPr>
        <w:t xml:space="preserve">. </w:t>
      </w:r>
      <w:r w:rsidR="00493C01" w:rsidRPr="00243E37">
        <w:rPr>
          <w:shd w:val="pct15" w:color="auto" w:fill="FFFFFF"/>
        </w:rPr>
        <w:t xml:space="preserve">No participants were excluded from the </w:t>
      </w:r>
      <w:r w:rsidR="00493C01" w:rsidRPr="00243E37">
        <w:rPr>
          <w:rFonts w:hint="eastAsia"/>
          <w:shd w:val="pct15" w:color="auto" w:fill="FFFFFF"/>
        </w:rPr>
        <w:t>study</w:t>
      </w:r>
      <w:r w:rsidR="00493C01" w:rsidRPr="00243E37">
        <w:rPr>
          <w:shd w:val="pct15" w:color="auto" w:fill="FFFFFF"/>
        </w:rPr>
        <w:t>.</w:t>
      </w:r>
      <w:r w:rsidR="00493C01">
        <w:rPr>
          <w:rFonts w:hint="eastAsia"/>
        </w:rPr>
        <w:t xml:space="preserve"> </w:t>
      </w:r>
      <w:r>
        <w:rPr>
          <w:rFonts w:eastAsia="Times New Roman"/>
        </w:rPr>
        <w:t xml:space="preserve">We ran a power analysis in G*Power </w:t>
      </w:r>
      <w:r w:rsidR="003F1151">
        <w:rPr>
          <w:rFonts w:hint="eastAsia"/>
        </w:rPr>
        <w:t xml:space="preserve">(Faul et al., 2007) </w:t>
      </w:r>
      <w:r>
        <w:rPr>
          <w:rFonts w:eastAsia="Times New Roman"/>
        </w:rPr>
        <w:t>based on differences of proportions of .40 and .60</w:t>
      </w:r>
      <w:r>
        <w:t>;</w:t>
      </w:r>
      <w:r w:rsidRPr="00B77251">
        <w:rPr>
          <w:rFonts w:eastAsia="Times New Roman"/>
        </w:rPr>
        <w:t xml:space="preserve"> the required sample size was 167 </w:t>
      </w:r>
      <w:r>
        <w:rPr>
          <w:rFonts w:hint="eastAsia"/>
        </w:rPr>
        <w:t xml:space="preserve">per condition </w:t>
      </w:r>
      <w:r>
        <w:t xml:space="preserve">for 95% power </w:t>
      </w:r>
      <w:r w:rsidRPr="00B77251">
        <w:rPr>
          <w:rFonts w:eastAsia="Times New Roman"/>
        </w:rPr>
        <w:t xml:space="preserve">to detect an effect with α = .05. </w:t>
      </w:r>
      <w:r w:rsidR="00167B87">
        <w:rPr>
          <w:rFonts w:hint="eastAsia"/>
        </w:rPr>
        <w:t>Due to the word count limit</w:t>
      </w:r>
      <w:r w:rsidR="00167B87">
        <w:t>s</w:t>
      </w:r>
      <w:r w:rsidR="00167B87">
        <w:rPr>
          <w:rFonts w:hint="eastAsia"/>
        </w:rPr>
        <w:t xml:space="preserve">, </w:t>
      </w:r>
      <w:r w:rsidR="00167B87">
        <w:t xml:space="preserve">we report </w:t>
      </w:r>
      <w:r w:rsidR="00167B87">
        <w:rPr>
          <w:rFonts w:hint="eastAsia"/>
        </w:rPr>
        <w:t xml:space="preserve">some of </w:t>
      </w:r>
      <w:r w:rsidR="00167B87">
        <w:t xml:space="preserve">our preregistered analyses </w:t>
      </w:r>
      <w:r w:rsidR="00167B87">
        <w:rPr>
          <w:rFonts w:hint="eastAsia"/>
        </w:rPr>
        <w:t>in the supplementary materials</w:t>
      </w:r>
      <w:r w:rsidR="00167B87">
        <w:t>; these all support the results in the main text.</w:t>
      </w:r>
    </w:p>
    <w:p w14:paraId="0EFA4CBE" w14:textId="758B5C2C" w:rsidR="00D96C55" w:rsidRDefault="00D96C55" w:rsidP="00D96C55">
      <w:pPr>
        <w:snapToGrid w:val="0"/>
        <w:spacing w:line="480" w:lineRule="auto"/>
        <w:ind w:firstLine="840"/>
        <w:jc w:val="left"/>
      </w:pPr>
      <w:r>
        <w:rPr>
          <w:rFonts w:hint="eastAsia"/>
          <w:b/>
        </w:rPr>
        <w:t xml:space="preserve">Procedure. </w:t>
      </w:r>
      <w:bookmarkStart w:id="2" w:name="_Hlk199685663"/>
      <w:r>
        <w:rPr>
          <w:rFonts w:hint="eastAsia"/>
        </w:rPr>
        <w:t>Participants</w:t>
      </w:r>
      <w:r w:rsidRPr="00877111">
        <w:rPr>
          <w:rFonts w:eastAsia="Times New Roman"/>
        </w:rPr>
        <w:t xml:space="preserve"> </w:t>
      </w:r>
      <w:r>
        <w:rPr>
          <w:rFonts w:hint="eastAsia"/>
        </w:rPr>
        <w:t xml:space="preserve">were asked to imagine a </w:t>
      </w:r>
      <w:r w:rsidR="001710C5" w:rsidRPr="00243E37">
        <w:rPr>
          <w:rFonts w:hint="eastAsia"/>
          <w:shd w:val="pct15" w:color="auto" w:fill="FFFFFF"/>
        </w:rPr>
        <w:t>hypothetical</w:t>
      </w:r>
      <w:r w:rsidR="001710C5">
        <w:rPr>
          <w:rFonts w:hint="eastAsia"/>
        </w:rPr>
        <w:t xml:space="preserve"> </w:t>
      </w:r>
      <w:r>
        <w:rPr>
          <w:rFonts w:hint="eastAsia"/>
        </w:rPr>
        <w:t>situation where they choose a partner who will distribute money to them</w:t>
      </w:r>
      <w:r>
        <w:t xml:space="preserve">. </w:t>
      </w:r>
      <w:bookmarkEnd w:id="2"/>
      <w:r>
        <w:rPr>
          <w:rFonts w:hint="eastAsia"/>
        </w:rPr>
        <w:t xml:space="preserve">Before choosing their partner, they were informed how </w:t>
      </w:r>
      <w:r>
        <w:t>20</w:t>
      </w:r>
      <w:r>
        <w:rPr>
          <w:rFonts w:hint="eastAsia"/>
        </w:rPr>
        <w:t xml:space="preserve"> people in </w:t>
      </w:r>
      <w:r w:rsidR="008E7C07" w:rsidRPr="00243E37">
        <w:rPr>
          <w:rFonts w:hint="eastAsia"/>
          <w:shd w:val="pct15" w:color="auto" w:fill="FFFFFF"/>
        </w:rPr>
        <w:t>the set of potential partners</w:t>
      </w:r>
      <w:r>
        <w:rPr>
          <w:rFonts w:hint="eastAsia"/>
        </w:rPr>
        <w:t xml:space="preserve"> ha</w:t>
      </w:r>
      <w:r>
        <w:t>d</w:t>
      </w:r>
      <w:r>
        <w:rPr>
          <w:rFonts w:hint="eastAsia"/>
        </w:rPr>
        <w:t xml:space="preserve"> distributed </w:t>
      </w:r>
      <w:r>
        <w:t xml:space="preserve">money </w:t>
      </w:r>
      <w:r>
        <w:rPr>
          <w:rFonts w:hint="eastAsia"/>
        </w:rPr>
        <w:t xml:space="preserve">in the past </w:t>
      </w:r>
      <w:r>
        <w:t xml:space="preserve">in a </w:t>
      </w:r>
      <w:r>
        <w:rPr>
          <w:rFonts w:hint="eastAsia"/>
        </w:rPr>
        <w:lastRenderedPageBreak/>
        <w:t>similar task</w:t>
      </w:r>
      <w:r>
        <w:t xml:space="preserve"> (Fig 1). </w:t>
      </w:r>
      <w:r w:rsidRPr="00FC72FA">
        <w:t>Although the distribut</w:t>
      </w:r>
      <w:r>
        <w:rPr>
          <w:rFonts w:hint="eastAsia"/>
        </w:rPr>
        <w:t>ion</w:t>
      </w:r>
      <w:r w:rsidRPr="00FC72FA">
        <w:t xml:space="preserve"> amounts were the same in </w:t>
      </w:r>
      <w:r>
        <w:t xml:space="preserve">the Unequal Wealth and Unequal Generosity </w:t>
      </w:r>
      <w:r w:rsidRPr="00FC72FA">
        <w:t xml:space="preserve">conditions, the </w:t>
      </w:r>
      <w:r>
        <w:rPr>
          <w:rFonts w:hint="eastAsia"/>
        </w:rPr>
        <w:t>variance</w:t>
      </w:r>
      <w:r w:rsidRPr="00FC72FA">
        <w:t xml:space="preserve"> of endowments </w:t>
      </w:r>
      <w:r>
        <w:rPr>
          <w:rFonts w:hint="eastAsia"/>
        </w:rPr>
        <w:t>(i.e., wealth) and</w:t>
      </w:r>
      <w:r w:rsidRPr="00FC72FA">
        <w:t xml:space="preserve"> </w:t>
      </w:r>
      <w:r>
        <w:t>percent distributed</w:t>
      </w:r>
      <w:r w:rsidRPr="00FC72FA">
        <w:t xml:space="preserve"> </w:t>
      </w:r>
      <w:r>
        <w:rPr>
          <w:rFonts w:hint="eastAsia"/>
        </w:rPr>
        <w:t>(i.e., g</w:t>
      </w:r>
      <w:r>
        <w:t>e</w:t>
      </w:r>
      <w:r>
        <w:rPr>
          <w:rFonts w:hint="eastAsia"/>
        </w:rPr>
        <w:t xml:space="preserve">nerosity) </w:t>
      </w:r>
      <w:r w:rsidRPr="00FC72FA">
        <w:t>differed across conditions (Table 1)</w:t>
      </w:r>
      <w:r>
        <w:rPr>
          <w:rFonts w:hint="eastAsia"/>
        </w:rPr>
        <w:t xml:space="preserve">; </w:t>
      </w:r>
      <w:r w:rsidRPr="00FC72FA">
        <w:t xml:space="preserve">the endowments varied </w:t>
      </w:r>
      <w:r w:rsidR="002661F3">
        <w:t xml:space="preserve">more </w:t>
      </w:r>
      <w:r w:rsidRPr="00FC72FA">
        <w:t xml:space="preserve">in the </w:t>
      </w:r>
      <w:r>
        <w:t>U</w:t>
      </w:r>
      <w:r w:rsidRPr="00FC72FA">
        <w:t xml:space="preserve">nequal </w:t>
      </w:r>
      <w:r>
        <w:t>W</w:t>
      </w:r>
      <w:r w:rsidRPr="00FC72FA">
        <w:t>ealth condition</w:t>
      </w:r>
      <w:r>
        <w:rPr>
          <w:rFonts w:hint="eastAsia"/>
        </w:rPr>
        <w:t>,</w:t>
      </w:r>
      <w:r w:rsidRPr="00FC72FA">
        <w:t xml:space="preserve"> </w:t>
      </w:r>
      <w:r>
        <w:t xml:space="preserve">and </w:t>
      </w:r>
      <w:r w:rsidRPr="00FC72FA">
        <w:t xml:space="preserve">the </w:t>
      </w:r>
      <w:r>
        <w:t xml:space="preserve">percent distributed </w:t>
      </w:r>
      <w:r w:rsidRPr="00FC72FA">
        <w:t xml:space="preserve">varied </w:t>
      </w:r>
      <w:r w:rsidR="002661F3">
        <w:t xml:space="preserve">more </w:t>
      </w:r>
      <w:r w:rsidRPr="00FC72FA">
        <w:t xml:space="preserve">in the </w:t>
      </w:r>
      <w:r>
        <w:t>U</w:t>
      </w:r>
      <w:r w:rsidRPr="00FC72FA">
        <w:t xml:space="preserve">nequal </w:t>
      </w:r>
      <w:r>
        <w:t>G</w:t>
      </w:r>
      <w:r w:rsidRPr="00FC72FA">
        <w:t>enerosity condition.</w:t>
      </w:r>
    </w:p>
    <w:p w14:paraId="335ECE32" w14:textId="77777777" w:rsidR="00D96C55" w:rsidRPr="00B406DF" w:rsidRDefault="00D96C55" w:rsidP="00D96C55">
      <w:pPr>
        <w:snapToGrid w:val="0"/>
        <w:spacing w:line="480" w:lineRule="auto"/>
        <w:ind w:firstLine="840"/>
        <w:jc w:val="left"/>
      </w:pPr>
    </w:p>
    <w:p w14:paraId="57191E58" w14:textId="77777777" w:rsidR="00D96C55" w:rsidRDefault="00D96C55" w:rsidP="00D96C55">
      <w:pPr>
        <w:widowControl/>
        <w:jc w:val="left"/>
      </w:pPr>
      <w:r>
        <w:rPr>
          <w:rFonts w:hint="eastAsia"/>
        </w:rPr>
        <w:t>Fig. 1. Overview of the task in Study 1.</w:t>
      </w:r>
    </w:p>
    <w:p w14:paraId="79ADE910" w14:textId="77777777" w:rsidR="00D96C55" w:rsidRDefault="00D96C55" w:rsidP="00D96C55">
      <w:pPr>
        <w:snapToGrid w:val="0"/>
        <w:spacing w:line="480" w:lineRule="auto"/>
        <w:jc w:val="left"/>
      </w:pPr>
      <w:r>
        <w:rPr>
          <w:noProof/>
        </w:rPr>
        <w:drawing>
          <wp:inline distT="0" distB="0" distL="0" distR="0" wp14:anchorId="27E9E74B" wp14:editId="5EEA3C90">
            <wp:extent cx="6145530" cy="4060190"/>
            <wp:effectExtent l="0" t="0" r="7620" b="0"/>
            <wp:docPr id="834955072" name="図 1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55072" name="図 12"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5530" cy="4060190"/>
                    </a:xfrm>
                    <a:prstGeom prst="rect">
                      <a:avLst/>
                    </a:prstGeom>
                    <a:noFill/>
                    <a:ln>
                      <a:noFill/>
                    </a:ln>
                  </pic:spPr>
                </pic:pic>
              </a:graphicData>
            </a:graphic>
          </wp:inline>
        </w:drawing>
      </w:r>
    </w:p>
    <w:p w14:paraId="1FD2F583" w14:textId="5F008D51" w:rsidR="00D96C55" w:rsidRPr="00A166F4" w:rsidRDefault="00D96C55" w:rsidP="00D96C55">
      <w:pPr>
        <w:snapToGrid w:val="0"/>
        <w:spacing w:line="480" w:lineRule="auto"/>
        <w:jc w:val="left"/>
        <w:rPr>
          <w:i/>
          <w:iCs/>
        </w:rPr>
      </w:pPr>
      <w:r w:rsidRPr="00A166F4">
        <w:rPr>
          <w:rFonts w:hint="eastAsia"/>
          <w:i/>
          <w:iCs/>
        </w:rPr>
        <w:t xml:space="preserve">Notes. </w:t>
      </w:r>
      <w:r w:rsidRPr="00A166F4">
        <w:rPr>
          <w:i/>
          <w:iCs/>
        </w:rPr>
        <w:t>Participants viewed one piece of information per page</w:t>
      </w:r>
      <w:r w:rsidR="00783080">
        <w:rPr>
          <w:i/>
          <w:iCs/>
        </w:rPr>
        <w:t xml:space="preserve"> (in random order)</w:t>
      </w:r>
      <w:r w:rsidRPr="00A166F4">
        <w:rPr>
          <w:i/>
          <w:iCs/>
        </w:rPr>
        <w:t xml:space="preserve">. </w:t>
      </w:r>
      <w:r>
        <w:rPr>
          <w:rFonts w:hint="eastAsia"/>
          <w:i/>
          <w:iCs/>
        </w:rPr>
        <w:t xml:space="preserve">They </w:t>
      </w:r>
      <w:r w:rsidRPr="00A166F4">
        <w:rPr>
          <w:i/>
          <w:iCs/>
        </w:rPr>
        <w:t>clicked a button to proceed to the next page.</w:t>
      </w:r>
    </w:p>
    <w:p w14:paraId="7B216F3D" w14:textId="77777777" w:rsidR="00D96C55" w:rsidRPr="00A166F4" w:rsidRDefault="00D96C55" w:rsidP="00D96C55">
      <w:pPr>
        <w:snapToGrid w:val="0"/>
        <w:spacing w:line="480" w:lineRule="auto"/>
        <w:jc w:val="left"/>
      </w:pPr>
    </w:p>
    <w:p w14:paraId="44D01CD7" w14:textId="08B6DCED" w:rsidR="00167B87" w:rsidRDefault="00167B87" w:rsidP="00167B87">
      <w:bookmarkStart w:id="3" w:name="_Hlk169174784"/>
      <w:r>
        <w:rPr>
          <w:rFonts w:hint="eastAsia"/>
        </w:rPr>
        <w:t xml:space="preserve">Table 1. </w:t>
      </w:r>
      <w:r>
        <w:t>Full l</w:t>
      </w:r>
      <w:r>
        <w:rPr>
          <w:rFonts w:hint="eastAsia"/>
        </w:rPr>
        <w:t xml:space="preserve">ist of potential partners shown </w:t>
      </w:r>
      <w:r>
        <w:t xml:space="preserve">to </w:t>
      </w:r>
      <w:r>
        <w:rPr>
          <w:rFonts w:hint="eastAsia"/>
        </w:rPr>
        <w:t>participants</w:t>
      </w:r>
      <w:r>
        <w:t xml:space="preserve"> (order randomized)</w:t>
      </w:r>
    </w:p>
    <w:tbl>
      <w:tblPr>
        <w:tblStyle w:val="OldDefaultTableStyle"/>
        <w:tblW w:w="9412" w:type="dxa"/>
        <w:tblInd w:w="5" w:type="dxa"/>
        <w:tblLook w:val="04A0" w:firstRow="1" w:lastRow="0" w:firstColumn="1" w:lastColumn="0" w:noHBand="0" w:noVBand="1"/>
      </w:tblPr>
      <w:tblGrid>
        <w:gridCol w:w="4706"/>
        <w:gridCol w:w="4706"/>
      </w:tblGrid>
      <w:tr w:rsidR="00167B87" w:rsidRPr="00EF5F1A" w14:paraId="5C6BC03B" w14:textId="77777777" w:rsidTr="006C5D5B">
        <w:trPr>
          <w:trHeight w:val="353"/>
        </w:trPr>
        <w:tc>
          <w:tcPr>
            <w:tcW w:w="4706" w:type="dxa"/>
            <w:tcBorders>
              <w:top w:val="single" w:sz="4" w:space="0" w:color="auto"/>
              <w:bottom w:val="single" w:sz="4" w:space="0" w:color="auto"/>
            </w:tcBorders>
            <w:noWrap/>
            <w:hideMark/>
          </w:tcPr>
          <w:p w14:paraId="7EEF4CC7" w14:textId="77777777" w:rsidR="00167B87" w:rsidRPr="00EF5F1A" w:rsidRDefault="00167B87" w:rsidP="006C5D5B">
            <w:pPr>
              <w:snapToGrid w:val="0"/>
              <w:spacing w:line="480" w:lineRule="auto"/>
              <w:jc w:val="center"/>
            </w:pPr>
            <w:r w:rsidRPr="00EF5F1A">
              <w:t>Unequal Generosity</w:t>
            </w:r>
          </w:p>
        </w:tc>
        <w:tc>
          <w:tcPr>
            <w:tcW w:w="4706" w:type="dxa"/>
            <w:tcBorders>
              <w:top w:val="single" w:sz="4" w:space="0" w:color="auto"/>
              <w:bottom w:val="single" w:sz="4" w:space="0" w:color="auto"/>
            </w:tcBorders>
            <w:noWrap/>
            <w:hideMark/>
          </w:tcPr>
          <w:p w14:paraId="3D6164FB" w14:textId="77777777" w:rsidR="00167B87" w:rsidRPr="00EF5F1A" w:rsidRDefault="00167B87" w:rsidP="006C5D5B">
            <w:pPr>
              <w:snapToGrid w:val="0"/>
              <w:spacing w:line="480" w:lineRule="auto"/>
              <w:jc w:val="center"/>
            </w:pPr>
            <w:r w:rsidRPr="00EF5F1A">
              <w:t>Unequal Wealth</w:t>
            </w:r>
          </w:p>
        </w:tc>
      </w:tr>
      <w:tr w:rsidR="00167B87" w:rsidRPr="00EF5F1A" w14:paraId="1DE9C585" w14:textId="77777777" w:rsidTr="006C5D5B">
        <w:trPr>
          <w:trHeight w:val="353"/>
        </w:trPr>
        <w:tc>
          <w:tcPr>
            <w:tcW w:w="4706" w:type="dxa"/>
            <w:tcBorders>
              <w:top w:val="single" w:sz="4" w:space="0" w:color="auto"/>
            </w:tcBorders>
            <w:noWrap/>
            <w:hideMark/>
          </w:tcPr>
          <w:p w14:paraId="2CBA897A" w14:textId="77777777" w:rsidR="00167B87" w:rsidRPr="00EF5F1A" w:rsidRDefault="00167B87" w:rsidP="006C5D5B">
            <w:pPr>
              <w:snapToGrid w:val="0"/>
              <w:spacing w:line="480" w:lineRule="auto"/>
              <w:jc w:val="center"/>
            </w:pPr>
            <w:r w:rsidRPr="00EF5F1A">
              <w:lastRenderedPageBreak/>
              <w:t>James shared $5 (3%) of his $151</w:t>
            </w:r>
          </w:p>
        </w:tc>
        <w:tc>
          <w:tcPr>
            <w:tcW w:w="4706" w:type="dxa"/>
            <w:tcBorders>
              <w:top w:val="single" w:sz="4" w:space="0" w:color="auto"/>
            </w:tcBorders>
            <w:noWrap/>
            <w:hideMark/>
          </w:tcPr>
          <w:p w14:paraId="0B38D255" w14:textId="77777777" w:rsidR="00167B87" w:rsidRPr="00EF5F1A" w:rsidRDefault="00167B87" w:rsidP="006C5D5B">
            <w:pPr>
              <w:snapToGrid w:val="0"/>
              <w:spacing w:line="480" w:lineRule="auto"/>
              <w:jc w:val="center"/>
            </w:pPr>
            <w:r w:rsidRPr="00EF5F1A">
              <w:t>James shared $5 (31%) of his $16</w:t>
            </w:r>
          </w:p>
        </w:tc>
      </w:tr>
      <w:tr w:rsidR="00167B87" w:rsidRPr="00EF5F1A" w14:paraId="4DC0A597" w14:textId="77777777" w:rsidTr="006C5D5B">
        <w:trPr>
          <w:trHeight w:val="353"/>
        </w:trPr>
        <w:tc>
          <w:tcPr>
            <w:tcW w:w="4706" w:type="dxa"/>
            <w:noWrap/>
            <w:hideMark/>
          </w:tcPr>
          <w:p w14:paraId="2C4B5376" w14:textId="77777777" w:rsidR="00167B87" w:rsidRPr="00EF5F1A" w:rsidRDefault="00167B87" w:rsidP="006C5D5B">
            <w:pPr>
              <w:snapToGrid w:val="0"/>
              <w:spacing w:line="480" w:lineRule="auto"/>
              <w:jc w:val="center"/>
            </w:pPr>
            <w:r w:rsidRPr="00EF5F1A">
              <w:t>Mary shared $9 (6%) of her $151</w:t>
            </w:r>
          </w:p>
        </w:tc>
        <w:tc>
          <w:tcPr>
            <w:tcW w:w="4706" w:type="dxa"/>
            <w:noWrap/>
            <w:hideMark/>
          </w:tcPr>
          <w:p w14:paraId="60CDAF08" w14:textId="77777777" w:rsidR="00167B87" w:rsidRPr="00EF5F1A" w:rsidRDefault="00167B87" w:rsidP="006C5D5B">
            <w:pPr>
              <w:snapToGrid w:val="0"/>
              <w:spacing w:line="480" w:lineRule="auto"/>
              <w:jc w:val="center"/>
            </w:pPr>
            <w:r w:rsidRPr="00EF5F1A">
              <w:t>Mary shared $9 (30%) of her $30</w:t>
            </w:r>
          </w:p>
        </w:tc>
      </w:tr>
      <w:tr w:rsidR="00167B87" w:rsidRPr="00EF5F1A" w14:paraId="776B0238" w14:textId="77777777" w:rsidTr="006C5D5B">
        <w:trPr>
          <w:trHeight w:val="353"/>
        </w:trPr>
        <w:tc>
          <w:tcPr>
            <w:tcW w:w="4706" w:type="dxa"/>
            <w:noWrap/>
            <w:hideMark/>
          </w:tcPr>
          <w:p w14:paraId="729D69F8" w14:textId="77777777" w:rsidR="00167B87" w:rsidRPr="00EF5F1A" w:rsidRDefault="00167B87" w:rsidP="006C5D5B">
            <w:pPr>
              <w:snapToGrid w:val="0"/>
              <w:spacing w:line="480" w:lineRule="auto"/>
              <w:jc w:val="center"/>
            </w:pPr>
            <w:r w:rsidRPr="00EF5F1A">
              <w:t>John shared $11 (7%) of his $150</w:t>
            </w:r>
          </w:p>
        </w:tc>
        <w:tc>
          <w:tcPr>
            <w:tcW w:w="4706" w:type="dxa"/>
            <w:noWrap/>
            <w:hideMark/>
          </w:tcPr>
          <w:p w14:paraId="1BF74050" w14:textId="77777777" w:rsidR="00167B87" w:rsidRPr="00EF5F1A" w:rsidRDefault="00167B87" w:rsidP="006C5D5B">
            <w:pPr>
              <w:snapToGrid w:val="0"/>
              <w:spacing w:line="480" w:lineRule="auto"/>
              <w:jc w:val="center"/>
            </w:pPr>
            <w:r w:rsidRPr="00EF5F1A">
              <w:t>John shared $11 (30%) of his  $37</w:t>
            </w:r>
          </w:p>
        </w:tc>
      </w:tr>
      <w:tr w:rsidR="00167B87" w:rsidRPr="00EF5F1A" w14:paraId="7B4D6DE3" w14:textId="77777777" w:rsidTr="006C5D5B">
        <w:trPr>
          <w:trHeight w:val="353"/>
        </w:trPr>
        <w:tc>
          <w:tcPr>
            <w:tcW w:w="4706" w:type="dxa"/>
            <w:noWrap/>
            <w:hideMark/>
          </w:tcPr>
          <w:p w14:paraId="5F411148" w14:textId="77777777" w:rsidR="00167B87" w:rsidRPr="00EF5F1A" w:rsidRDefault="00167B87" w:rsidP="006C5D5B">
            <w:pPr>
              <w:snapToGrid w:val="0"/>
              <w:spacing w:line="480" w:lineRule="auto"/>
              <w:jc w:val="center"/>
            </w:pPr>
            <w:bookmarkStart w:id="4" w:name="_Hlk169174242"/>
            <w:r w:rsidRPr="00EF5F1A">
              <w:t>Patricia shared $12 (8%) of her $151</w:t>
            </w:r>
          </w:p>
        </w:tc>
        <w:tc>
          <w:tcPr>
            <w:tcW w:w="4706" w:type="dxa"/>
            <w:noWrap/>
            <w:hideMark/>
          </w:tcPr>
          <w:p w14:paraId="5E40E992" w14:textId="77777777" w:rsidR="00167B87" w:rsidRPr="00EF5F1A" w:rsidRDefault="00167B87" w:rsidP="006C5D5B">
            <w:pPr>
              <w:snapToGrid w:val="0"/>
              <w:spacing w:line="480" w:lineRule="auto"/>
              <w:jc w:val="center"/>
            </w:pPr>
            <w:r w:rsidRPr="00EF5F1A">
              <w:t>Patricia shared $12 (29%) of her $41</w:t>
            </w:r>
          </w:p>
        </w:tc>
      </w:tr>
      <w:tr w:rsidR="00167B87" w:rsidRPr="00EF5F1A" w14:paraId="2CCC58C9" w14:textId="77777777" w:rsidTr="006C5D5B">
        <w:trPr>
          <w:trHeight w:val="353"/>
        </w:trPr>
        <w:tc>
          <w:tcPr>
            <w:tcW w:w="4706" w:type="dxa"/>
            <w:noWrap/>
            <w:hideMark/>
          </w:tcPr>
          <w:p w14:paraId="647D9439" w14:textId="77777777" w:rsidR="00167B87" w:rsidRPr="00EF5F1A" w:rsidRDefault="00167B87" w:rsidP="006C5D5B">
            <w:pPr>
              <w:snapToGrid w:val="0"/>
              <w:spacing w:line="480" w:lineRule="auto"/>
              <w:jc w:val="center"/>
            </w:pPr>
            <w:r w:rsidRPr="00EF5F1A">
              <w:t>Robert shared $12 (8%) of his $150</w:t>
            </w:r>
          </w:p>
        </w:tc>
        <w:tc>
          <w:tcPr>
            <w:tcW w:w="4706" w:type="dxa"/>
            <w:noWrap/>
            <w:hideMark/>
          </w:tcPr>
          <w:p w14:paraId="40AC4B2A" w14:textId="77777777" w:rsidR="00167B87" w:rsidRPr="00EF5F1A" w:rsidRDefault="00167B87" w:rsidP="006C5D5B">
            <w:pPr>
              <w:snapToGrid w:val="0"/>
              <w:spacing w:line="480" w:lineRule="auto"/>
              <w:jc w:val="center"/>
            </w:pPr>
            <w:r w:rsidRPr="00EF5F1A">
              <w:t>Robert shared $12 (29%) of his  $41</w:t>
            </w:r>
          </w:p>
        </w:tc>
      </w:tr>
      <w:tr w:rsidR="00167B87" w:rsidRPr="00EF5F1A" w14:paraId="1EF66979" w14:textId="77777777" w:rsidTr="006C5D5B">
        <w:trPr>
          <w:trHeight w:val="353"/>
        </w:trPr>
        <w:tc>
          <w:tcPr>
            <w:tcW w:w="4706" w:type="dxa"/>
            <w:noWrap/>
            <w:hideMark/>
          </w:tcPr>
          <w:p w14:paraId="3676D848" w14:textId="77777777" w:rsidR="00167B87" w:rsidRPr="00EF5F1A" w:rsidRDefault="00167B87" w:rsidP="006C5D5B">
            <w:pPr>
              <w:snapToGrid w:val="0"/>
              <w:spacing w:line="480" w:lineRule="auto"/>
              <w:jc w:val="center"/>
            </w:pPr>
            <w:r w:rsidRPr="00EF5F1A">
              <w:t>Jennifer shared $15 (10%) of her $150</w:t>
            </w:r>
          </w:p>
        </w:tc>
        <w:tc>
          <w:tcPr>
            <w:tcW w:w="4706" w:type="dxa"/>
            <w:noWrap/>
            <w:hideMark/>
          </w:tcPr>
          <w:p w14:paraId="08542404" w14:textId="77777777" w:rsidR="00167B87" w:rsidRPr="00EF5F1A" w:rsidRDefault="00167B87" w:rsidP="006C5D5B">
            <w:pPr>
              <w:snapToGrid w:val="0"/>
              <w:spacing w:line="480" w:lineRule="auto"/>
              <w:jc w:val="center"/>
            </w:pPr>
            <w:r w:rsidRPr="00EF5F1A">
              <w:t>Jennifer shared $15 (30%) of her $50</w:t>
            </w:r>
          </w:p>
        </w:tc>
      </w:tr>
      <w:tr w:rsidR="00167B87" w:rsidRPr="00EF5F1A" w14:paraId="70DCC770" w14:textId="77777777" w:rsidTr="006C5D5B">
        <w:trPr>
          <w:trHeight w:val="353"/>
        </w:trPr>
        <w:tc>
          <w:tcPr>
            <w:tcW w:w="4706" w:type="dxa"/>
            <w:noWrap/>
            <w:hideMark/>
          </w:tcPr>
          <w:p w14:paraId="6E390D63" w14:textId="77777777" w:rsidR="00167B87" w:rsidRPr="00EF5F1A" w:rsidRDefault="00167B87" w:rsidP="006C5D5B">
            <w:pPr>
              <w:snapToGrid w:val="0"/>
              <w:spacing w:line="480" w:lineRule="auto"/>
              <w:jc w:val="center"/>
            </w:pPr>
            <w:r w:rsidRPr="00EF5F1A">
              <w:t>Michael shared $16 (11%) of his $151</w:t>
            </w:r>
          </w:p>
        </w:tc>
        <w:tc>
          <w:tcPr>
            <w:tcW w:w="4706" w:type="dxa"/>
            <w:noWrap/>
            <w:hideMark/>
          </w:tcPr>
          <w:p w14:paraId="1DC38547" w14:textId="77777777" w:rsidR="00167B87" w:rsidRPr="00EF5F1A" w:rsidRDefault="00167B87" w:rsidP="006C5D5B">
            <w:pPr>
              <w:snapToGrid w:val="0"/>
              <w:spacing w:line="480" w:lineRule="auto"/>
              <w:jc w:val="center"/>
            </w:pPr>
            <w:r w:rsidRPr="00EF5F1A">
              <w:t>Michael shared $16 (31%) of his $52</w:t>
            </w:r>
          </w:p>
        </w:tc>
      </w:tr>
      <w:tr w:rsidR="00167B87" w:rsidRPr="00EF5F1A" w14:paraId="36D9810A" w14:textId="77777777" w:rsidTr="006C5D5B">
        <w:trPr>
          <w:trHeight w:val="353"/>
        </w:trPr>
        <w:tc>
          <w:tcPr>
            <w:tcW w:w="4706" w:type="dxa"/>
            <w:noWrap/>
            <w:hideMark/>
          </w:tcPr>
          <w:p w14:paraId="60DBFAF0" w14:textId="77777777" w:rsidR="00167B87" w:rsidRPr="00EF5F1A" w:rsidRDefault="00167B87" w:rsidP="006C5D5B">
            <w:pPr>
              <w:snapToGrid w:val="0"/>
              <w:spacing w:line="480" w:lineRule="auto"/>
              <w:jc w:val="center"/>
            </w:pPr>
            <w:r w:rsidRPr="00EF5F1A">
              <w:t>Linda shared $17 (11%) of her $150</w:t>
            </w:r>
          </w:p>
        </w:tc>
        <w:tc>
          <w:tcPr>
            <w:tcW w:w="4706" w:type="dxa"/>
            <w:noWrap/>
            <w:hideMark/>
          </w:tcPr>
          <w:p w14:paraId="7236AEB6" w14:textId="77777777" w:rsidR="00167B87" w:rsidRPr="00EF5F1A" w:rsidRDefault="00167B87" w:rsidP="006C5D5B">
            <w:pPr>
              <w:snapToGrid w:val="0"/>
              <w:spacing w:line="480" w:lineRule="auto"/>
              <w:jc w:val="center"/>
            </w:pPr>
            <w:r w:rsidRPr="00EF5F1A">
              <w:t>Linda shared $17 (30%) of her $57</w:t>
            </w:r>
          </w:p>
        </w:tc>
      </w:tr>
      <w:tr w:rsidR="00167B87" w:rsidRPr="00EF5F1A" w14:paraId="4D7749C2" w14:textId="77777777" w:rsidTr="006C5D5B">
        <w:trPr>
          <w:trHeight w:val="353"/>
        </w:trPr>
        <w:tc>
          <w:tcPr>
            <w:tcW w:w="4706" w:type="dxa"/>
            <w:noWrap/>
            <w:hideMark/>
          </w:tcPr>
          <w:p w14:paraId="51383F76" w14:textId="77777777" w:rsidR="00167B87" w:rsidRPr="00EF5F1A" w:rsidRDefault="00167B87" w:rsidP="006C5D5B">
            <w:pPr>
              <w:snapToGrid w:val="0"/>
              <w:spacing w:line="480" w:lineRule="auto"/>
              <w:jc w:val="center"/>
            </w:pPr>
            <w:r w:rsidRPr="00EF5F1A">
              <w:t>William shared $20 (13%) of his $150</w:t>
            </w:r>
          </w:p>
        </w:tc>
        <w:tc>
          <w:tcPr>
            <w:tcW w:w="4706" w:type="dxa"/>
            <w:noWrap/>
            <w:hideMark/>
          </w:tcPr>
          <w:p w14:paraId="75E7821B" w14:textId="77777777" w:rsidR="00167B87" w:rsidRPr="00EF5F1A" w:rsidRDefault="00167B87" w:rsidP="006C5D5B">
            <w:pPr>
              <w:snapToGrid w:val="0"/>
              <w:spacing w:line="480" w:lineRule="auto"/>
              <w:jc w:val="center"/>
            </w:pPr>
            <w:r w:rsidRPr="00EF5F1A">
              <w:t>William shared $20 (30%) of his $67</w:t>
            </w:r>
          </w:p>
        </w:tc>
      </w:tr>
      <w:tr w:rsidR="00167B87" w:rsidRPr="00EF5F1A" w14:paraId="73DB05AF" w14:textId="77777777" w:rsidTr="006C5D5B">
        <w:trPr>
          <w:trHeight w:val="353"/>
        </w:trPr>
        <w:tc>
          <w:tcPr>
            <w:tcW w:w="4706" w:type="dxa"/>
            <w:noWrap/>
            <w:hideMark/>
          </w:tcPr>
          <w:p w14:paraId="74556C5E" w14:textId="77777777" w:rsidR="00167B87" w:rsidRPr="00EF5F1A" w:rsidRDefault="00167B87" w:rsidP="006C5D5B">
            <w:pPr>
              <w:snapToGrid w:val="0"/>
              <w:spacing w:line="480" w:lineRule="auto"/>
              <w:jc w:val="center"/>
            </w:pPr>
            <w:r w:rsidRPr="00EF5F1A">
              <w:t>Elizabeth shared $26 (17%) of her $149</w:t>
            </w:r>
          </w:p>
        </w:tc>
        <w:tc>
          <w:tcPr>
            <w:tcW w:w="4706" w:type="dxa"/>
            <w:noWrap/>
            <w:hideMark/>
          </w:tcPr>
          <w:p w14:paraId="0C2B4AA3" w14:textId="77777777" w:rsidR="00167B87" w:rsidRPr="00EF5F1A" w:rsidRDefault="00167B87" w:rsidP="006C5D5B">
            <w:pPr>
              <w:snapToGrid w:val="0"/>
              <w:spacing w:line="480" w:lineRule="auto"/>
              <w:jc w:val="center"/>
            </w:pPr>
            <w:r w:rsidRPr="00EF5F1A">
              <w:t>Elizabeth shared $26 (29%) of her $90</w:t>
            </w:r>
          </w:p>
        </w:tc>
      </w:tr>
      <w:tr w:rsidR="00167B87" w:rsidRPr="00EF5F1A" w14:paraId="3B63D8E9" w14:textId="77777777" w:rsidTr="006C5D5B">
        <w:trPr>
          <w:trHeight w:val="353"/>
        </w:trPr>
        <w:tc>
          <w:tcPr>
            <w:tcW w:w="4706" w:type="dxa"/>
            <w:noWrap/>
            <w:hideMark/>
          </w:tcPr>
          <w:p w14:paraId="34760CCD" w14:textId="77777777" w:rsidR="00167B87" w:rsidRPr="00EF5F1A" w:rsidRDefault="00167B87" w:rsidP="006C5D5B">
            <w:pPr>
              <w:snapToGrid w:val="0"/>
              <w:spacing w:line="480" w:lineRule="auto"/>
              <w:jc w:val="center"/>
            </w:pPr>
            <w:r w:rsidRPr="00EF5F1A">
              <w:t>David shared $67 (45%) of his $150</w:t>
            </w:r>
          </w:p>
        </w:tc>
        <w:tc>
          <w:tcPr>
            <w:tcW w:w="4706" w:type="dxa"/>
            <w:noWrap/>
            <w:hideMark/>
          </w:tcPr>
          <w:p w14:paraId="2FD5E2A0" w14:textId="77777777" w:rsidR="00167B87" w:rsidRPr="00EF5F1A" w:rsidRDefault="00167B87" w:rsidP="006C5D5B">
            <w:pPr>
              <w:snapToGrid w:val="0"/>
              <w:spacing w:line="480" w:lineRule="auto"/>
              <w:jc w:val="center"/>
            </w:pPr>
            <w:r w:rsidRPr="00EF5F1A">
              <w:t>David shared $67 (31%) of his $216</w:t>
            </w:r>
          </w:p>
        </w:tc>
      </w:tr>
      <w:tr w:rsidR="00167B87" w:rsidRPr="00EF5F1A" w14:paraId="28DAD073" w14:textId="77777777" w:rsidTr="006C5D5B">
        <w:trPr>
          <w:trHeight w:val="353"/>
        </w:trPr>
        <w:tc>
          <w:tcPr>
            <w:tcW w:w="4706" w:type="dxa"/>
            <w:noWrap/>
            <w:hideMark/>
          </w:tcPr>
          <w:p w14:paraId="008532BF" w14:textId="77777777" w:rsidR="00167B87" w:rsidRPr="00EF5F1A" w:rsidRDefault="00167B87" w:rsidP="006C5D5B">
            <w:pPr>
              <w:snapToGrid w:val="0"/>
              <w:spacing w:line="480" w:lineRule="auto"/>
              <w:jc w:val="center"/>
            </w:pPr>
            <w:r w:rsidRPr="00EF5F1A">
              <w:t>Barbara shared $73 (49%) of her $149</w:t>
            </w:r>
          </w:p>
        </w:tc>
        <w:tc>
          <w:tcPr>
            <w:tcW w:w="4706" w:type="dxa"/>
            <w:noWrap/>
            <w:hideMark/>
          </w:tcPr>
          <w:p w14:paraId="10F88389" w14:textId="77777777" w:rsidR="00167B87" w:rsidRPr="00EF5F1A" w:rsidRDefault="00167B87" w:rsidP="006C5D5B">
            <w:pPr>
              <w:snapToGrid w:val="0"/>
              <w:spacing w:line="480" w:lineRule="auto"/>
              <w:jc w:val="center"/>
            </w:pPr>
            <w:r w:rsidRPr="00EF5F1A">
              <w:t>Barbara shared $73 (30%) of her $243</w:t>
            </w:r>
          </w:p>
        </w:tc>
      </w:tr>
      <w:tr w:rsidR="00167B87" w:rsidRPr="00EF5F1A" w14:paraId="24B2884C" w14:textId="77777777" w:rsidTr="006C5D5B">
        <w:trPr>
          <w:trHeight w:val="353"/>
        </w:trPr>
        <w:tc>
          <w:tcPr>
            <w:tcW w:w="4706" w:type="dxa"/>
            <w:noWrap/>
            <w:hideMark/>
          </w:tcPr>
          <w:p w14:paraId="6D7B9B29" w14:textId="77777777" w:rsidR="00167B87" w:rsidRPr="00EF5F1A" w:rsidRDefault="00167B87" w:rsidP="006C5D5B">
            <w:pPr>
              <w:snapToGrid w:val="0"/>
              <w:spacing w:line="480" w:lineRule="auto"/>
              <w:jc w:val="center"/>
            </w:pPr>
            <w:r w:rsidRPr="00EF5F1A">
              <w:t>Richard shared $74 (49%) of his $150</w:t>
            </w:r>
          </w:p>
        </w:tc>
        <w:tc>
          <w:tcPr>
            <w:tcW w:w="4706" w:type="dxa"/>
            <w:noWrap/>
            <w:hideMark/>
          </w:tcPr>
          <w:p w14:paraId="39FC721D" w14:textId="77777777" w:rsidR="00167B87" w:rsidRPr="00EF5F1A" w:rsidRDefault="00167B87" w:rsidP="006C5D5B">
            <w:pPr>
              <w:snapToGrid w:val="0"/>
              <w:spacing w:line="480" w:lineRule="auto"/>
              <w:jc w:val="center"/>
            </w:pPr>
            <w:r w:rsidRPr="00EF5F1A">
              <w:t>Richard shared $74 (30%) of his $247</w:t>
            </w:r>
          </w:p>
        </w:tc>
      </w:tr>
      <w:tr w:rsidR="00167B87" w:rsidRPr="00EF5F1A" w14:paraId="07115336" w14:textId="77777777" w:rsidTr="006C5D5B">
        <w:trPr>
          <w:trHeight w:val="353"/>
        </w:trPr>
        <w:tc>
          <w:tcPr>
            <w:tcW w:w="4706" w:type="dxa"/>
            <w:noWrap/>
            <w:hideMark/>
          </w:tcPr>
          <w:p w14:paraId="70238334" w14:textId="77777777" w:rsidR="00167B87" w:rsidRPr="00EF5F1A" w:rsidRDefault="00167B87" w:rsidP="006C5D5B">
            <w:pPr>
              <w:snapToGrid w:val="0"/>
              <w:spacing w:line="480" w:lineRule="auto"/>
              <w:jc w:val="center"/>
            </w:pPr>
            <w:r w:rsidRPr="00EF5F1A">
              <w:t>Susan shared $76 (51%) of her $150</w:t>
            </w:r>
          </w:p>
        </w:tc>
        <w:tc>
          <w:tcPr>
            <w:tcW w:w="4706" w:type="dxa"/>
            <w:noWrap/>
            <w:hideMark/>
          </w:tcPr>
          <w:p w14:paraId="1D6D598E" w14:textId="77777777" w:rsidR="00167B87" w:rsidRPr="00EF5F1A" w:rsidRDefault="00167B87" w:rsidP="006C5D5B">
            <w:pPr>
              <w:snapToGrid w:val="0"/>
              <w:spacing w:line="480" w:lineRule="auto"/>
              <w:jc w:val="center"/>
            </w:pPr>
            <w:r w:rsidRPr="00EF5F1A">
              <w:t>Susan shared $76 (31%) of her $245</w:t>
            </w:r>
          </w:p>
        </w:tc>
      </w:tr>
      <w:tr w:rsidR="00167B87" w:rsidRPr="00EF5F1A" w14:paraId="47C5746E" w14:textId="77777777" w:rsidTr="006C5D5B">
        <w:trPr>
          <w:trHeight w:val="353"/>
        </w:trPr>
        <w:tc>
          <w:tcPr>
            <w:tcW w:w="4706" w:type="dxa"/>
            <w:noWrap/>
            <w:hideMark/>
          </w:tcPr>
          <w:p w14:paraId="3EB2020E" w14:textId="77777777" w:rsidR="00167B87" w:rsidRPr="00EF5F1A" w:rsidRDefault="00167B87" w:rsidP="006C5D5B">
            <w:pPr>
              <w:snapToGrid w:val="0"/>
              <w:spacing w:line="480" w:lineRule="auto"/>
              <w:jc w:val="center"/>
            </w:pPr>
            <w:r w:rsidRPr="00EF5F1A">
              <w:t>Joseph shared $76 (51%) of his $150</w:t>
            </w:r>
          </w:p>
        </w:tc>
        <w:tc>
          <w:tcPr>
            <w:tcW w:w="4706" w:type="dxa"/>
            <w:noWrap/>
            <w:hideMark/>
          </w:tcPr>
          <w:p w14:paraId="4E0598D8" w14:textId="77777777" w:rsidR="00167B87" w:rsidRPr="00EF5F1A" w:rsidRDefault="00167B87" w:rsidP="006C5D5B">
            <w:pPr>
              <w:snapToGrid w:val="0"/>
              <w:spacing w:line="480" w:lineRule="auto"/>
              <w:jc w:val="center"/>
            </w:pPr>
            <w:r w:rsidRPr="00EF5F1A">
              <w:t>Joseph shared $76 (30%) of his $253</w:t>
            </w:r>
          </w:p>
        </w:tc>
      </w:tr>
      <w:tr w:rsidR="00167B87" w:rsidRPr="00EF5F1A" w14:paraId="7748604B" w14:textId="77777777" w:rsidTr="006C5D5B">
        <w:trPr>
          <w:trHeight w:val="353"/>
        </w:trPr>
        <w:tc>
          <w:tcPr>
            <w:tcW w:w="4706" w:type="dxa"/>
            <w:noWrap/>
            <w:hideMark/>
          </w:tcPr>
          <w:p w14:paraId="7D107141" w14:textId="77777777" w:rsidR="00167B87" w:rsidRPr="00EF5F1A" w:rsidRDefault="00167B87" w:rsidP="006C5D5B">
            <w:pPr>
              <w:snapToGrid w:val="0"/>
              <w:spacing w:line="480" w:lineRule="auto"/>
              <w:jc w:val="center"/>
            </w:pPr>
            <w:r w:rsidRPr="00EF5F1A">
              <w:t>Jessica shared $79 (52%) of her $151</w:t>
            </w:r>
          </w:p>
        </w:tc>
        <w:tc>
          <w:tcPr>
            <w:tcW w:w="4706" w:type="dxa"/>
            <w:noWrap/>
            <w:hideMark/>
          </w:tcPr>
          <w:p w14:paraId="7AD5CDE2" w14:textId="77777777" w:rsidR="00167B87" w:rsidRPr="00EF5F1A" w:rsidRDefault="00167B87" w:rsidP="006C5D5B">
            <w:pPr>
              <w:snapToGrid w:val="0"/>
              <w:spacing w:line="480" w:lineRule="auto"/>
              <w:jc w:val="center"/>
            </w:pPr>
            <w:r w:rsidRPr="00EF5F1A">
              <w:t>Jessica shared $79 (29%) of her $272</w:t>
            </w:r>
          </w:p>
        </w:tc>
      </w:tr>
      <w:tr w:rsidR="00167B87" w:rsidRPr="00EF5F1A" w14:paraId="4624C238" w14:textId="77777777" w:rsidTr="006C5D5B">
        <w:trPr>
          <w:trHeight w:val="353"/>
        </w:trPr>
        <w:tc>
          <w:tcPr>
            <w:tcW w:w="4706" w:type="dxa"/>
            <w:noWrap/>
            <w:hideMark/>
          </w:tcPr>
          <w:p w14:paraId="2EA30D91" w14:textId="77777777" w:rsidR="00167B87" w:rsidRPr="00EF5F1A" w:rsidRDefault="00167B87" w:rsidP="006C5D5B">
            <w:pPr>
              <w:snapToGrid w:val="0"/>
              <w:spacing w:line="480" w:lineRule="auto"/>
              <w:jc w:val="center"/>
            </w:pPr>
            <w:r w:rsidRPr="00EF5F1A">
              <w:t>Thomas shared $81 (54%) of his $150</w:t>
            </w:r>
          </w:p>
        </w:tc>
        <w:tc>
          <w:tcPr>
            <w:tcW w:w="4706" w:type="dxa"/>
            <w:noWrap/>
            <w:hideMark/>
          </w:tcPr>
          <w:p w14:paraId="404C31F1" w14:textId="77777777" w:rsidR="00167B87" w:rsidRPr="00EF5F1A" w:rsidRDefault="00167B87" w:rsidP="006C5D5B">
            <w:pPr>
              <w:snapToGrid w:val="0"/>
              <w:spacing w:line="480" w:lineRule="auto"/>
              <w:jc w:val="center"/>
            </w:pPr>
            <w:r w:rsidRPr="00EF5F1A">
              <w:t>Thomas shared $81 (31%) of his $261</w:t>
            </w:r>
          </w:p>
        </w:tc>
      </w:tr>
      <w:bookmarkEnd w:id="4"/>
      <w:tr w:rsidR="00167B87" w:rsidRPr="00EF5F1A" w14:paraId="1D1A1BAD" w14:textId="77777777" w:rsidTr="006C5D5B">
        <w:trPr>
          <w:trHeight w:val="353"/>
        </w:trPr>
        <w:tc>
          <w:tcPr>
            <w:tcW w:w="4706" w:type="dxa"/>
            <w:noWrap/>
            <w:hideMark/>
          </w:tcPr>
          <w:p w14:paraId="0B3BA5C1" w14:textId="77777777" w:rsidR="00167B87" w:rsidRPr="00EF5F1A" w:rsidRDefault="00167B87" w:rsidP="006C5D5B">
            <w:pPr>
              <w:snapToGrid w:val="0"/>
              <w:spacing w:line="480" w:lineRule="auto"/>
              <w:jc w:val="center"/>
            </w:pPr>
            <w:r w:rsidRPr="00EF5F1A">
              <w:t>Sarah shared $82 (55%) of her $150</w:t>
            </w:r>
          </w:p>
        </w:tc>
        <w:tc>
          <w:tcPr>
            <w:tcW w:w="4706" w:type="dxa"/>
            <w:noWrap/>
            <w:hideMark/>
          </w:tcPr>
          <w:p w14:paraId="0A529490" w14:textId="77777777" w:rsidR="00167B87" w:rsidRPr="00EF5F1A" w:rsidRDefault="00167B87" w:rsidP="006C5D5B">
            <w:pPr>
              <w:snapToGrid w:val="0"/>
              <w:spacing w:line="480" w:lineRule="auto"/>
              <w:jc w:val="center"/>
            </w:pPr>
            <w:r w:rsidRPr="00EF5F1A">
              <w:t>Sarah shared $82 (30%) of her $273</w:t>
            </w:r>
          </w:p>
        </w:tc>
      </w:tr>
      <w:tr w:rsidR="00167B87" w:rsidRPr="00EF5F1A" w14:paraId="2B95B189" w14:textId="77777777" w:rsidTr="006C5D5B">
        <w:trPr>
          <w:trHeight w:val="353"/>
        </w:trPr>
        <w:tc>
          <w:tcPr>
            <w:tcW w:w="4706" w:type="dxa"/>
            <w:noWrap/>
            <w:hideMark/>
          </w:tcPr>
          <w:p w14:paraId="0DA47AA4" w14:textId="77777777" w:rsidR="00167B87" w:rsidRPr="00EF5F1A" w:rsidRDefault="00167B87" w:rsidP="006C5D5B">
            <w:pPr>
              <w:snapToGrid w:val="0"/>
              <w:spacing w:line="480" w:lineRule="auto"/>
              <w:jc w:val="center"/>
            </w:pPr>
            <w:r w:rsidRPr="00EF5F1A">
              <w:t>Charles shared $83 (55%) of his $150</w:t>
            </w:r>
          </w:p>
        </w:tc>
        <w:tc>
          <w:tcPr>
            <w:tcW w:w="4706" w:type="dxa"/>
            <w:noWrap/>
            <w:hideMark/>
          </w:tcPr>
          <w:p w14:paraId="7A01A14B" w14:textId="77777777" w:rsidR="00167B87" w:rsidRPr="00EF5F1A" w:rsidRDefault="00167B87" w:rsidP="006C5D5B">
            <w:pPr>
              <w:snapToGrid w:val="0"/>
              <w:spacing w:line="480" w:lineRule="auto"/>
              <w:jc w:val="center"/>
            </w:pPr>
            <w:r w:rsidRPr="00EF5F1A">
              <w:t>Charles shared $83 (30%) of his $277</w:t>
            </w:r>
          </w:p>
        </w:tc>
      </w:tr>
      <w:tr w:rsidR="00167B87" w:rsidRPr="00EF5F1A" w14:paraId="32136FB8" w14:textId="77777777" w:rsidTr="006C5D5B">
        <w:trPr>
          <w:trHeight w:val="353"/>
        </w:trPr>
        <w:tc>
          <w:tcPr>
            <w:tcW w:w="4706" w:type="dxa"/>
            <w:tcBorders>
              <w:bottom w:val="single" w:sz="4" w:space="0" w:color="auto"/>
            </w:tcBorders>
            <w:noWrap/>
            <w:hideMark/>
          </w:tcPr>
          <w:p w14:paraId="28C88ED7" w14:textId="77777777" w:rsidR="00167B87" w:rsidRPr="00EF5F1A" w:rsidRDefault="00167B87" w:rsidP="006C5D5B">
            <w:pPr>
              <w:snapToGrid w:val="0"/>
              <w:spacing w:line="480" w:lineRule="auto"/>
              <w:jc w:val="center"/>
            </w:pPr>
            <w:r w:rsidRPr="00EF5F1A">
              <w:t>Karen shared $84 (56%) of her $150</w:t>
            </w:r>
          </w:p>
        </w:tc>
        <w:tc>
          <w:tcPr>
            <w:tcW w:w="4706" w:type="dxa"/>
            <w:tcBorders>
              <w:bottom w:val="single" w:sz="4" w:space="0" w:color="auto"/>
            </w:tcBorders>
            <w:noWrap/>
            <w:hideMark/>
          </w:tcPr>
          <w:p w14:paraId="311C9F2E" w14:textId="77777777" w:rsidR="00167B87" w:rsidRPr="00EF5F1A" w:rsidRDefault="00167B87" w:rsidP="006C5D5B">
            <w:pPr>
              <w:snapToGrid w:val="0"/>
              <w:spacing w:line="480" w:lineRule="auto"/>
              <w:jc w:val="center"/>
            </w:pPr>
            <w:r w:rsidRPr="00EF5F1A">
              <w:t>Karen shared $84 (30%) of her $280</w:t>
            </w:r>
          </w:p>
        </w:tc>
      </w:tr>
    </w:tbl>
    <w:p w14:paraId="2EB1AEAD" w14:textId="77777777" w:rsidR="00167B87" w:rsidRDefault="00167B87" w:rsidP="00167B87"/>
    <w:p w14:paraId="6DA8B853" w14:textId="77777777" w:rsidR="00D96C55" w:rsidRPr="007872B0" w:rsidRDefault="00D96C55" w:rsidP="00D96C55">
      <w:pPr>
        <w:snapToGrid w:val="0"/>
        <w:spacing w:line="480" w:lineRule="auto"/>
        <w:ind w:left="840"/>
        <w:jc w:val="left"/>
      </w:pPr>
    </w:p>
    <w:bookmarkEnd w:id="3"/>
    <w:p w14:paraId="7CB440A2" w14:textId="4EB3E0E7" w:rsidR="00D96C55" w:rsidRDefault="00D96C55" w:rsidP="00D96C55">
      <w:pPr>
        <w:snapToGrid w:val="0"/>
        <w:spacing w:line="480" w:lineRule="auto"/>
        <w:jc w:val="left"/>
      </w:pPr>
      <w:r>
        <w:tab/>
        <w:t>B</w:t>
      </w:r>
      <w:r>
        <w:rPr>
          <w:rFonts w:hint="eastAsia"/>
        </w:rPr>
        <w:t xml:space="preserve">efore they chose their partner, </w:t>
      </w:r>
      <w:r>
        <w:t xml:space="preserve">participants </w:t>
      </w:r>
      <w:r>
        <w:rPr>
          <w:rFonts w:hint="eastAsia"/>
        </w:rPr>
        <w:t xml:space="preserve">could check </w:t>
      </w:r>
      <w:r w:rsidRPr="00F7093E">
        <w:t>either the wealth or generosity of the potential partners</w:t>
      </w:r>
      <w:r>
        <w:t xml:space="preserve">, and </w:t>
      </w:r>
      <w:r>
        <w:rPr>
          <w:rFonts w:hint="eastAsia"/>
        </w:rPr>
        <w:t xml:space="preserve">were asked to </w:t>
      </w:r>
      <w:r w:rsidRPr="00F7093E">
        <w:t>cho</w:t>
      </w:r>
      <w:r>
        <w:rPr>
          <w:rFonts w:hint="eastAsia"/>
        </w:rPr>
        <w:t>ose</w:t>
      </w:r>
      <w:r w:rsidRPr="00F7093E">
        <w:t xml:space="preserve"> </w:t>
      </w:r>
      <w:r>
        <w:t xml:space="preserve">which </w:t>
      </w:r>
      <w:r>
        <w:rPr>
          <w:rFonts w:hint="eastAsia"/>
        </w:rPr>
        <w:t>information they wanted to see</w:t>
      </w:r>
      <w:r w:rsidR="00025E64">
        <w:t xml:space="preserve">: </w:t>
      </w:r>
      <w:r>
        <w:t xml:space="preserve">Wealth </w:t>
      </w:r>
      <w:r>
        <w:rPr>
          <w:rFonts w:hint="eastAsia"/>
        </w:rPr>
        <w:lastRenderedPageBreak/>
        <w:t>[</w:t>
      </w:r>
      <w:r>
        <w:t>i.e., $ in their endowment</w:t>
      </w:r>
      <w:r>
        <w:rPr>
          <w:rFonts w:hint="eastAsia"/>
        </w:rPr>
        <w:t>]</w:t>
      </w:r>
      <w:r w:rsidR="00D61231">
        <w:rPr>
          <w:rFonts w:hint="eastAsia"/>
        </w:rPr>
        <w:t xml:space="preserve"> or</w:t>
      </w:r>
      <w:r>
        <w:rPr>
          <w:rFonts w:hint="eastAsia"/>
        </w:rPr>
        <w:t xml:space="preserve"> </w:t>
      </w:r>
      <w:r>
        <w:t xml:space="preserve">Generosity </w:t>
      </w:r>
      <w:r>
        <w:rPr>
          <w:rFonts w:hint="eastAsia"/>
        </w:rPr>
        <w:t>[</w:t>
      </w:r>
      <w:r>
        <w:t>i.e., % of their endowment they shared</w:t>
      </w:r>
      <w:r>
        <w:rPr>
          <w:rFonts w:hint="eastAsia"/>
        </w:rPr>
        <w:t>]. Finally, as manipulation check questions</w:t>
      </w:r>
      <w:r>
        <w:t xml:space="preserve">, </w:t>
      </w:r>
      <w:r>
        <w:rPr>
          <w:rFonts w:hint="eastAsia"/>
        </w:rPr>
        <w:t xml:space="preserve">they rated the extent to which they agreed with the statements </w:t>
      </w:r>
      <w:r>
        <w:t>“</w:t>
      </w:r>
      <w:r>
        <w:rPr>
          <w:rFonts w:hint="eastAsia"/>
        </w:rPr>
        <w:t>Generosity may vary in the group</w:t>
      </w:r>
      <w:r>
        <w:t>”</w:t>
      </w:r>
      <w:r>
        <w:rPr>
          <w:rFonts w:hint="eastAsia"/>
        </w:rPr>
        <w:t xml:space="preserve"> and </w:t>
      </w:r>
      <w:r>
        <w:t>“</w:t>
      </w:r>
      <w:r>
        <w:rPr>
          <w:rFonts w:hint="eastAsia"/>
        </w:rPr>
        <w:t>Wealth may vary in the group</w:t>
      </w:r>
      <w:r>
        <w:t>”</w:t>
      </w:r>
      <w:r>
        <w:rPr>
          <w:rFonts w:hint="eastAsia"/>
        </w:rPr>
        <w:t xml:space="preserve"> </w:t>
      </w:r>
      <w:r w:rsidRPr="00EA0AFA">
        <w:t xml:space="preserve">on a 7-point scale (1 = </w:t>
      </w:r>
      <w:r w:rsidRPr="00EA0AFA">
        <w:rPr>
          <w:i/>
          <w:iCs/>
        </w:rPr>
        <w:t>strongly disagree</w:t>
      </w:r>
      <w:r w:rsidRPr="00EA0AFA">
        <w:t xml:space="preserve">, 7 = </w:t>
      </w:r>
      <w:r w:rsidRPr="00EA0AFA">
        <w:rPr>
          <w:i/>
          <w:iCs/>
        </w:rPr>
        <w:t>strongly agree</w:t>
      </w:r>
      <w:r w:rsidRPr="00EA0AFA">
        <w:t>)</w:t>
      </w:r>
      <w:r>
        <w:rPr>
          <w:rFonts w:hint="eastAsia"/>
        </w:rPr>
        <w:t>.</w:t>
      </w:r>
      <w:r>
        <w:t xml:space="preserve"> This manipulation check was successful: </w:t>
      </w:r>
      <w:r w:rsidR="00744A90">
        <w:rPr>
          <w:rFonts w:hint="eastAsia"/>
        </w:rPr>
        <w:t xml:space="preserve">on average, </w:t>
      </w:r>
      <w:r>
        <w:t xml:space="preserve">participants in the Unequal Wealth condition </w:t>
      </w:r>
      <w:r w:rsidR="00783080">
        <w:t>agreed that wealth varied more in the group than did generosity, and vice versa in the Unequal Generosity condition (see Supplementary</w:t>
      </w:r>
      <w:r w:rsidR="00450E5A">
        <w:rPr>
          <w:rFonts w:hint="eastAsia"/>
        </w:rPr>
        <w:t xml:space="preserve"> Material</w:t>
      </w:r>
      <w:r w:rsidR="00783080">
        <w:t xml:space="preserve">). </w:t>
      </w:r>
    </w:p>
    <w:p w14:paraId="2A208A0D" w14:textId="77777777" w:rsidR="00D96C55" w:rsidRPr="00596D8A" w:rsidRDefault="00D96C55" w:rsidP="00596D8A">
      <w:pPr>
        <w:snapToGrid w:val="0"/>
        <w:spacing w:line="480" w:lineRule="auto"/>
        <w:rPr>
          <w:b/>
        </w:rPr>
      </w:pPr>
      <w:r w:rsidRPr="00877111">
        <w:rPr>
          <w:rFonts w:eastAsia="Times New Roman"/>
          <w:b/>
        </w:rPr>
        <w:t>2.</w:t>
      </w:r>
      <w:r>
        <w:rPr>
          <w:rFonts w:hint="eastAsia"/>
          <w:b/>
        </w:rPr>
        <w:t>2</w:t>
      </w:r>
      <w:r w:rsidRPr="00877111">
        <w:rPr>
          <w:rFonts w:eastAsia="Times New Roman"/>
          <w:b/>
        </w:rPr>
        <w:t xml:space="preserve">. </w:t>
      </w:r>
      <w:r>
        <w:rPr>
          <w:rFonts w:hint="eastAsia"/>
          <w:b/>
        </w:rPr>
        <w:t>Results and discussion</w:t>
      </w:r>
    </w:p>
    <w:p w14:paraId="13F2EFBB" w14:textId="580A70E5" w:rsidR="00596D8A" w:rsidRPr="00621C01" w:rsidRDefault="00D96C55" w:rsidP="00596D8A">
      <w:pPr>
        <w:pStyle w:val="pf0"/>
        <w:spacing w:before="0" w:beforeAutospacing="0" w:after="0" w:afterAutospacing="0" w:line="480" w:lineRule="auto"/>
        <w:ind w:firstLine="567"/>
        <w:rPr>
          <w:rFonts w:eastAsiaTheme="minorEastAsia"/>
          <w:lang w:val="" w:eastAsia="ja-JP"/>
        </w:rPr>
      </w:pPr>
      <w:bookmarkStart w:id="5" w:name="_Hlk169192305"/>
      <w:r w:rsidRPr="00596D8A">
        <w:t>For our main analysis, we used Fisher’s exact tests to compare the number of participants who preferred to see the generosity versus wealth of potential partners (Fig. 2</w:t>
      </w:r>
      <w:r w:rsidR="009554AA">
        <w:rPr>
          <w:rFonts w:eastAsiaTheme="minorEastAsia" w:hint="eastAsia"/>
          <w:lang w:eastAsia="ja-JP"/>
        </w:rPr>
        <w:t>A</w:t>
      </w:r>
      <w:r w:rsidRPr="00596D8A">
        <w:t>). As predicted, participants in the Unequal Generosity condition were more likely to seek generosity information than participants in the Unequal Wealth condition (143/175 (81.7%) vs. 96/175 (54.9%), respectively, odds ratio = 3.6</w:t>
      </w:r>
      <w:r w:rsidR="00B24B0E">
        <w:rPr>
          <w:rFonts w:eastAsiaTheme="minorEastAsia" w:hint="eastAsia"/>
          <w:lang w:eastAsia="ja-JP"/>
        </w:rPr>
        <w:t>6</w:t>
      </w:r>
      <w:r w:rsidRPr="00596D8A">
        <w:t xml:space="preserve"> [2.2</w:t>
      </w:r>
      <w:r w:rsidR="00B24B0E">
        <w:rPr>
          <w:rFonts w:eastAsiaTheme="minorEastAsia" w:hint="eastAsia"/>
          <w:lang w:eastAsia="ja-JP"/>
        </w:rPr>
        <w:t>1</w:t>
      </w:r>
      <w:r w:rsidRPr="00596D8A">
        <w:t xml:space="preserve">, </w:t>
      </w:r>
      <w:r w:rsidR="00B24B0E">
        <w:rPr>
          <w:rFonts w:eastAsiaTheme="minorEastAsia" w:hint="eastAsia"/>
          <w:lang w:eastAsia="ja-JP"/>
        </w:rPr>
        <w:t>6</w:t>
      </w:r>
      <w:r w:rsidRPr="00596D8A">
        <w:t>.</w:t>
      </w:r>
      <w:r w:rsidR="00B24B0E">
        <w:rPr>
          <w:rFonts w:eastAsiaTheme="minorEastAsia" w:hint="eastAsia"/>
          <w:lang w:eastAsia="ja-JP"/>
        </w:rPr>
        <w:t>18</w:t>
      </w:r>
      <w:r w:rsidRPr="00596D8A">
        <w:t xml:space="preserve">], </w:t>
      </w:r>
      <w:r w:rsidRPr="00596D8A">
        <w:rPr>
          <w:i/>
          <w:iCs/>
        </w:rPr>
        <w:t>p</w:t>
      </w:r>
      <w:r w:rsidRPr="00596D8A">
        <w:t xml:space="preserve">&lt;.001). </w:t>
      </w:r>
      <w:r w:rsidR="00596D8A" w:rsidRPr="00596D8A">
        <w:rPr>
          <w:rStyle w:val="cf01"/>
          <w:rFonts w:ascii="Times New Roman" w:eastAsiaTheme="majorEastAsia" w:hAnsi="Times New Roman" w:cs="Times New Roman"/>
          <w:sz w:val="24"/>
          <w:szCs w:val="24"/>
        </w:rPr>
        <w:t xml:space="preserve">Our results are even stronger if we do an exploratory analysis that splits participants into those who passed the manipulation check and those who failed it (see Supplementary </w:t>
      </w:r>
      <w:r w:rsidR="00596D8A">
        <w:rPr>
          <w:rStyle w:val="cf01"/>
          <w:rFonts w:ascii="Times New Roman" w:eastAsiaTheme="majorEastAsia" w:hAnsi="Times New Roman" w:cs="Times New Roman"/>
          <w:sz w:val="24"/>
          <w:szCs w:val="24"/>
        </w:rPr>
        <w:t>Material</w:t>
      </w:r>
      <w:r w:rsidR="00596D8A" w:rsidRPr="00596D8A">
        <w:rPr>
          <w:rStyle w:val="cf01"/>
          <w:rFonts w:ascii="Times New Roman" w:eastAsiaTheme="majorEastAsia" w:hAnsi="Times New Roman" w:cs="Times New Roman"/>
          <w:sz w:val="24"/>
          <w:szCs w:val="24"/>
        </w:rPr>
        <w:t>).</w:t>
      </w:r>
      <w:r w:rsidR="00461D94">
        <w:rPr>
          <w:rStyle w:val="cf01"/>
          <w:rFonts w:ascii="Times New Roman" w:eastAsiaTheme="majorEastAsia" w:hAnsi="Times New Roman" w:cs="Times New Roman"/>
          <w:sz w:val="24"/>
          <w:szCs w:val="24"/>
        </w:rPr>
        <w:t xml:space="preserve"> </w:t>
      </w:r>
    </w:p>
    <w:p w14:paraId="3189585D" w14:textId="0877CCCB" w:rsidR="00D96C55" w:rsidRDefault="00D96C55" w:rsidP="00596D8A">
      <w:pPr>
        <w:snapToGrid w:val="0"/>
        <w:spacing w:line="480" w:lineRule="auto"/>
        <w:ind w:firstLine="840"/>
        <w:jc w:val="left"/>
      </w:pPr>
      <w:r w:rsidRPr="00596D8A">
        <w:t>Furthermore, we also conducted binomial tests within each condition. As predicted, participants in the Unequal Generosity condition were more likely to seek generosity than wealth information (</w:t>
      </w:r>
      <w:r w:rsidRPr="00596D8A">
        <w:rPr>
          <w:i/>
          <w:iCs/>
        </w:rPr>
        <w:t>p</w:t>
      </w:r>
      <w:r w:rsidRPr="00596D8A">
        <w:t xml:space="preserve">&lt;.001, </w:t>
      </w:r>
      <w:r w:rsidRPr="00596D8A">
        <w:rPr>
          <w:i/>
          <w:iCs/>
        </w:rPr>
        <w:t>h</w:t>
      </w:r>
      <w:r w:rsidRPr="00596D8A">
        <w:t xml:space="preserve"> = 0.69). Unexpectedly, however, participants in the Unequal Wealth condition were not more likely to prefer to seek wealt</w:t>
      </w:r>
      <w:r>
        <w:rPr>
          <w:rFonts w:hint="eastAsia"/>
        </w:rPr>
        <w:t>h than generosity (</w:t>
      </w:r>
      <w:r w:rsidRPr="00CC6F71">
        <w:rPr>
          <w:rFonts w:hint="eastAsia"/>
          <w:i/>
          <w:iCs/>
        </w:rPr>
        <w:t>p</w:t>
      </w:r>
      <w:r>
        <w:rPr>
          <w:rFonts w:hint="eastAsia"/>
        </w:rPr>
        <w:t xml:space="preserve"> = .226, </w:t>
      </w:r>
      <w:r w:rsidRPr="00483B55">
        <w:rPr>
          <w:rFonts w:hint="eastAsia"/>
          <w:i/>
          <w:iCs/>
        </w:rPr>
        <w:t>h</w:t>
      </w:r>
      <w:r>
        <w:rPr>
          <w:rFonts w:hint="eastAsia"/>
        </w:rPr>
        <w:t xml:space="preserve"> = 0.10); rather, they </w:t>
      </w:r>
      <w:r>
        <w:t xml:space="preserve">were somewhat ambivalent, and if anything, sought </w:t>
      </w:r>
      <w:r>
        <w:rPr>
          <w:rFonts w:hint="eastAsia"/>
        </w:rPr>
        <w:t>generosity</w:t>
      </w:r>
      <w:r>
        <w:t xml:space="preserve"> information</w:t>
      </w:r>
      <w:r>
        <w:rPr>
          <w:rFonts w:hint="eastAsia"/>
        </w:rPr>
        <w:t>.</w:t>
      </w:r>
      <w:bookmarkEnd w:id="5"/>
    </w:p>
    <w:p w14:paraId="7D0FC0DF" w14:textId="6534BD97" w:rsidR="00D96C55" w:rsidRDefault="00DE0502" w:rsidP="00D96C55">
      <w:pPr>
        <w:snapToGrid w:val="0"/>
        <w:spacing w:line="480" w:lineRule="auto"/>
        <w:ind w:firstLine="840"/>
        <w:jc w:val="left"/>
      </w:pPr>
      <w:r w:rsidRPr="00243E37">
        <w:rPr>
          <w:rFonts w:hint="eastAsia"/>
          <w:shd w:val="pct15" w:color="auto" w:fill="FFFFFF"/>
        </w:rPr>
        <w:t>Using the two manipulation check variables as continuous indices of participants</w:t>
      </w:r>
      <w:r w:rsidRPr="00243E37">
        <w:rPr>
          <w:shd w:val="pct15" w:color="auto" w:fill="FFFFFF"/>
        </w:rPr>
        <w:t>’</w:t>
      </w:r>
      <w:r w:rsidRPr="00243E37">
        <w:rPr>
          <w:rFonts w:hint="eastAsia"/>
          <w:shd w:val="pct15" w:color="auto" w:fill="FFFFFF"/>
        </w:rPr>
        <w:t xml:space="preserve"> perceived variance in generosity and wealth,</w:t>
      </w:r>
      <w:r>
        <w:rPr>
          <w:rFonts w:hint="eastAsia"/>
        </w:rPr>
        <w:t xml:space="preserve"> w</w:t>
      </w:r>
      <w:r w:rsidR="0009611E" w:rsidRPr="0009611E">
        <w:t>e conducted an exploratory logistic regression to predict preferences for generosity information</w:t>
      </w:r>
      <w:r>
        <w:rPr>
          <w:rFonts w:hint="eastAsia"/>
        </w:rPr>
        <w:t>.</w:t>
      </w:r>
      <w:r w:rsidR="0009611E" w:rsidRPr="0009611E">
        <w:t xml:space="preserve"> </w:t>
      </w:r>
      <w:r>
        <w:rPr>
          <w:rFonts w:hint="eastAsia"/>
        </w:rPr>
        <w:t>P</w:t>
      </w:r>
      <w:r w:rsidR="0009611E" w:rsidRPr="0009611E">
        <w:t xml:space="preserve">articipants’ perceptions of the variance in </w:t>
      </w:r>
      <w:r w:rsidR="0009611E" w:rsidRPr="0009611E">
        <w:lastRenderedPageBreak/>
        <w:t xml:space="preserve">generosity predicted </w:t>
      </w:r>
      <w:r w:rsidR="00301B3A" w:rsidRPr="00243E37">
        <w:rPr>
          <w:shd w:val="pct15" w:color="auto" w:fill="FFFFFF"/>
        </w:rPr>
        <w:t>a higher</w:t>
      </w:r>
      <w:r w:rsidR="00301B3A">
        <w:t xml:space="preserve"> </w:t>
      </w:r>
      <w:r w:rsidR="0009611E" w:rsidRPr="0009611E">
        <w:t>preference for the generosity information (</w:t>
      </w:r>
      <w:r w:rsidR="0009611E" w:rsidRPr="00F52E12">
        <w:rPr>
          <w:i/>
          <w:iCs/>
        </w:rPr>
        <w:t>B</w:t>
      </w:r>
      <w:r w:rsidR="0009611E" w:rsidRPr="0009611E">
        <w:t xml:space="preserve"> = 0.</w:t>
      </w:r>
      <w:r w:rsidR="00EE64BE">
        <w:rPr>
          <w:rFonts w:hint="eastAsia"/>
        </w:rPr>
        <w:t>33</w:t>
      </w:r>
      <w:r w:rsidR="0009611E" w:rsidRPr="0009611E">
        <w:t>,</w:t>
      </w:r>
      <w:r w:rsidR="00EE64BE">
        <w:rPr>
          <w:rFonts w:hint="eastAsia"/>
        </w:rPr>
        <w:t xml:space="preserve"> odds ratio = 1.39,</w:t>
      </w:r>
      <w:r w:rsidR="0009611E" w:rsidRPr="0009611E">
        <w:t xml:space="preserve"> </w:t>
      </w:r>
      <w:r w:rsidR="0009611E" w:rsidRPr="00F52E12">
        <w:rPr>
          <w:i/>
          <w:iCs/>
        </w:rPr>
        <w:t>p</w:t>
      </w:r>
      <w:r w:rsidR="0009611E" w:rsidRPr="0009611E">
        <w:t xml:space="preserve">&lt;.001), whereas their perceptions of the variance in wealth </w:t>
      </w:r>
      <w:r w:rsidRPr="00243E37">
        <w:rPr>
          <w:rFonts w:hint="eastAsia"/>
          <w:shd w:val="pct15" w:color="auto" w:fill="FFFFFF"/>
        </w:rPr>
        <w:t>increased</w:t>
      </w:r>
      <w:r w:rsidRPr="00243E37">
        <w:rPr>
          <w:shd w:val="pct15" w:color="auto" w:fill="FFFFFF"/>
        </w:rPr>
        <w:t xml:space="preserve"> </w:t>
      </w:r>
      <w:r w:rsidRPr="00243E37">
        <w:rPr>
          <w:rFonts w:hint="eastAsia"/>
          <w:shd w:val="pct15" w:color="auto" w:fill="FFFFFF"/>
        </w:rPr>
        <w:t>the likelihood of choosing</w:t>
      </w:r>
      <w:r>
        <w:rPr>
          <w:rFonts w:hint="eastAsia"/>
        </w:rPr>
        <w:t xml:space="preserve"> </w:t>
      </w:r>
      <w:r w:rsidR="0009611E" w:rsidRPr="0009611E">
        <w:t>wealth information (</w:t>
      </w:r>
      <w:r w:rsidR="0009611E" w:rsidRPr="00F52E12">
        <w:rPr>
          <w:i/>
          <w:iCs/>
        </w:rPr>
        <w:t>B</w:t>
      </w:r>
      <w:r w:rsidR="0009611E" w:rsidRPr="0009611E">
        <w:t xml:space="preserve"> = -0.3</w:t>
      </w:r>
      <w:r w:rsidR="00EE64BE">
        <w:rPr>
          <w:rFonts w:hint="eastAsia"/>
        </w:rPr>
        <w:t>0</w:t>
      </w:r>
      <w:r w:rsidR="0009611E" w:rsidRPr="0009611E">
        <w:t xml:space="preserve">, </w:t>
      </w:r>
      <w:r w:rsidR="00EE64BE">
        <w:rPr>
          <w:rFonts w:hint="eastAsia"/>
        </w:rPr>
        <w:t>odds ratio = 0.74,</w:t>
      </w:r>
      <w:r w:rsidR="00EE64BE" w:rsidRPr="0009611E">
        <w:t xml:space="preserve"> </w:t>
      </w:r>
      <w:r w:rsidR="0009611E" w:rsidRPr="00F52E12">
        <w:rPr>
          <w:i/>
          <w:iCs/>
        </w:rPr>
        <w:t>p</w:t>
      </w:r>
      <w:r w:rsidR="0009611E" w:rsidRPr="0009611E">
        <w:t>&lt;.001).</w:t>
      </w:r>
    </w:p>
    <w:p w14:paraId="2F737AA4" w14:textId="77777777" w:rsidR="006F73A1" w:rsidRPr="00964125" w:rsidRDefault="006F73A1" w:rsidP="00D96C55">
      <w:pPr>
        <w:snapToGrid w:val="0"/>
        <w:spacing w:line="480" w:lineRule="auto"/>
        <w:ind w:firstLine="840"/>
        <w:jc w:val="left"/>
      </w:pPr>
    </w:p>
    <w:p w14:paraId="60672A17" w14:textId="5A89EE8F" w:rsidR="00D96C55" w:rsidRDefault="00D96C55" w:rsidP="00D96C55">
      <w:pPr>
        <w:snapToGrid w:val="0"/>
        <w:spacing w:line="480" w:lineRule="auto"/>
        <w:jc w:val="left"/>
        <w:rPr>
          <w:noProof/>
        </w:rPr>
      </w:pPr>
      <w:r>
        <w:rPr>
          <w:rFonts w:eastAsia="MS Mincho" w:hint="eastAsia"/>
          <w:bCs/>
        </w:rPr>
        <w:t xml:space="preserve">Fig. </w:t>
      </w:r>
      <w:r w:rsidR="00461D94">
        <w:rPr>
          <w:rFonts w:eastAsia="MS Mincho"/>
          <w:bCs/>
        </w:rPr>
        <w:t>2</w:t>
      </w:r>
      <w:r w:rsidRPr="00D14D46">
        <w:rPr>
          <w:rFonts w:eastAsia="MS Mincho"/>
          <w:bCs/>
        </w:rPr>
        <w:t xml:space="preserve">. </w:t>
      </w:r>
      <w:r w:rsidRPr="00A666C4">
        <w:rPr>
          <w:rFonts w:eastAsia="MS Mincho" w:hint="eastAsia"/>
          <w:bCs/>
        </w:rPr>
        <w:t>Proportion</w:t>
      </w:r>
      <w:r w:rsidRPr="00A666C4">
        <w:rPr>
          <w:rFonts w:eastAsia="MS Mincho"/>
          <w:bCs/>
        </w:rPr>
        <w:t xml:space="preserve"> of Participants who </w:t>
      </w:r>
      <w:r w:rsidRPr="00A666C4">
        <w:rPr>
          <w:rFonts w:eastAsia="MS Mincho" w:hint="eastAsia"/>
          <w:bCs/>
        </w:rPr>
        <w:t>Seek</w:t>
      </w:r>
      <w:r w:rsidRPr="00A666C4">
        <w:rPr>
          <w:rFonts w:eastAsia="MS Mincho"/>
          <w:bCs/>
        </w:rPr>
        <w:t xml:space="preserve"> </w:t>
      </w:r>
      <w:r w:rsidRPr="00A666C4">
        <w:rPr>
          <w:rFonts w:eastAsia="MS Mincho" w:hint="eastAsia"/>
          <w:bCs/>
        </w:rPr>
        <w:t xml:space="preserve">Wealth or Generosity </w:t>
      </w:r>
      <w:bookmarkStart w:id="6" w:name="_Hlk14179252"/>
      <w:r w:rsidRPr="00A666C4">
        <w:rPr>
          <w:rFonts w:eastAsia="MS Mincho" w:hint="eastAsia"/>
          <w:bCs/>
        </w:rPr>
        <w:t>Information of</w:t>
      </w:r>
      <w:r w:rsidRPr="00A666C4">
        <w:rPr>
          <w:rFonts w:eastAsia="MS Mincho"/>
          <w:bCs/>
        </w:rPr>
        <w:t xml:space="preserve"> </w:t>
      </w:r>
      <w:r w:rsidRPr="00A666C4">
        <w:rPr>
          <w:rFonts w:eastAsia="MS Mincho" w:hint="eastAsia"/>
          <w:bCs/>
        </w:rPr>
        <w:t>Potential Partners</w:t>
      </w:r>
      <w:bookmarkEnd w:id="6"/>
      <w:r w:rsidRPr="00A666C4">
        <w:rPr>
          <w:rFonts w:eastAsia="MS Mincho"/>
          <w:bCs/>
        </w:rPr>
        <w:t xml:space="preserve"> </w:t>
      </w:r>
      <w:r w:rsidRPr="00A666C4">
        <w:rPr>
          <w:rFonts w:eastAsia="MS Mincho" w:hint="eastAsia"/>
          <w:bCs/>
        </w:rPr>
        <w:t>in Each Condition in Study 1</w:t>
      </w:r>
      <w:r>
        <w:rPr>
          <w:rFonts w:eastAsia="MS Mincho" w:hint="eastAsia"/>
          <w:bCs/>
        </w:rPr>
        <w:t xml:space="preserve"> </w:t>
      </w:r>
      <w:r w:rsidRPr="00A666C4">
        <w:rPr>
          <w:rFonts w:eastAsia="MS Mincho"/>
          <w:bCs/>
        </w:rPr>
        <w:t>(</w:t>
      </w:r>
      <w:r w:rsidRPr="00FC162A">
        <w:rPr>
          <w:rFonts w:eastAsia="MS Mincho"/>
          <w:bCs/>
          <w:i/>
          <w:iCs/>
        </w:rPr>
        <w:t>N</w:t>
      </w:r>
      <w:r w:rsidRPr="00A666C4">
        <w:rPr>
          <w:rFonts w:eastAsia="MS Mincho"/>
          <w:bCs/>
        </w:rPr>
        <w:t xml:space="preserve"> = </w:t>
      </w:r>
      <w:r w:rsidRPr="00A666C4">
        <w:rPr>
          <w:rFonts w:eastAsia="MS Mincho" w:hint="eastAsia"/>
          <w:bCs/>
        </w:rPr>
        <w:t>350</w:t>
      </w:r>
      <w:r w:rsidRPr="00A666C4">
        <w:rPr>
          <w:rFonts w:eastAsia="MS Mincho"/>
          <w:bCs/>
        </w:rPr>
        <w:t>)</w:t>
      </w:r>
      <w:r w:rsidR="008D3C80">
        <w:rPr>
          <w:rFonts w:eastAsia="MS Mincho" w:hint="eastAsia"/>
          <w:bCs/>
        </w:rPr>
        <w:t xml:space="preserve"> and Study 2 (</w:t>
      </w:r>
      <w:r w:rsidR="008D3C80" w:rsidRPr="00FC162A">
        <w:rPr>
          <w:rFonts w:eastAsia="MS Mincho"/>
          <w:bCs/>
          <w:i/>
          <w:iCs/>
        </w:rPr>
        <w:t>N</w:t>
      </w:r>
      <w:r w:rsidR="008D3C80" w:rsidRPr="00A666C4">
        <w:rPr>
          <w:rFonts w:eastAsia="MS Mincho"/>
          <w:bCs/>
        </w:rPr>
        <w:t xml:space="preserve"> = </w:t>
      </w:r>
      <w:r w:rsidR="008D3C80">
        <w:rPr>
          <w:rFonts w:eastAsia="MS Mincho" w:hint="eastAsia"/>
          <w:bCs/>
        </w:rPr>
        <w:t>60</w:t>
      </w:r>
      <w:r w:rsidR="008D3C80" w:rsidRPr="00A666C4">
        <w:rPr>
          <w:rFonts w:eastAsia="MS Mincho" w:hint="eastAsia"/>
          <w:bCs/>
        </w:rPr>
        <w:t>0</w:t>
      </w:r>
      <w:r w:rsidR="008D3C80">
        <w:rPr>
          <w:rFonts w:eastAsia="MS Mincho" w:hint="eastAsia"/>
          <w:bCs/>
        </w:rPr>
        <w:t>)</w:t>
      </w:r>
      <w:r w:rsidRPr="00A666C4">
        <w:rPr>
          <w:rFonts w:eastAsia="MS Mincho"/>
          <w:bCs/>
        </w:rPr>
        <w:t>.</w:t>
      </w:r>
      <w:r w:rsidR="008D3C80" w:rsidRPr="008D3C80">
        <w:rPr>
          <w:rFonts w:hint="eastAsia"/>
          <w:noProof/>
        </w:rPr>
        <w:t xml:space="preserve"> </w:t>
      </w:r>
    </w:p>
    <w:p w14:paraId="110C696D" w14:textId="5DD47E10" w:rsidR="006F551B" w:rsidRPr="00845159" w:rsidRDefault="00ED0B94" w:rsidP="00D96C55">
      <w:pPr>
        <w:snapToGrid w:val="0"/>
        <w:spacing w:line="480" w:lineRule="auto"/>
        <w:jc w:val="left"/>
      </w:pPr>
      <w:r>
        <w:rPr>
          <w:noProof/>
        </w:rPr>
        <w:drawing>
          <wp:inline distT="0" distB="0" distL="0" distR="0" wp14:anchorId="2FC69493" wp14:editId="6A4BE704">
            <wp:extent cx="5939155" cy="2543810"/>
            <wp:effectExtent l="0" t="0" r="4445" b="8890"/>
            <wp:docPr id="20228119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155" cy="2543810"/>
                    </a:xfrm>
                    <a:prstGeom prst="rect">
                      <a:avLst/>
                    </a:prstGeom>
                    <a:noFill/>
                    <a:ln>
                      <a:noFill/>
                    </a:ln>
                  </pic:spPr>
                </pic:pic>
              </a:graphicData>
            </a:graphic>
          </wp:inline>
        </w:drawing>
      </w:r>
    </w:p>
    <w:p w14:paraId="1DEAD8CF" w14:textId="44F842F2" w:rsidR="00D96C55" w:rsidRDefault="00D96C55" w:rsidP="00D96C55">
      <w:pPr>
        <w:snapToGrid w:val="0"/>
        <w:spacing w:line="480" w:lineRule="auto"/>
        <w:ind w:firstLine="840"/>
        <w:jc w:val="left"/>
      </w:pPr>
      <w:r>
        <w:rPr>
          <w:rFonts w:hint="eastAsia"/>
        </w:rPr>
        <w:t>Given the default concern for generosity</w:t>
      </w:r>
      <w:r w:rsidR="007C280E">
        <w:rPr>
          <w:rFonts w:hint="eastAsia"/>
        </w:rPr>
        <w:t xml:space="preserve"> </w:t>
      </w:r>
      <w:r w:rsidR="007C280E" w:rsidRPr="00243E37">
        <w:rPr>
          <w:rFonts w:hint="eastAsia"/>
          <w:shd w:val="pct15" w:color="auto" w:fill="FFFFFF"/>
        </w:rPr>
        <w:t>in Study 1</w:t>
      </w:r>
      <w:r w:rsidR="00301B3A" w:rsidRPr="00243E37">
        <w:rPr>
          <w:shd w:val="pct15" w:color="auto" w:fill="FFFFFF"/>
        </w:rPr>
        <w:t xml:space="preserve"> (see Supplementary)</w:t>
      </w:r>
      <w:r>
        <w:rPr>
          <w:rFonts w:hint="eastAsia"/>
        </w:rPr>
        <w:t xml:space="preserve">, both the variance in generosity and wealth seem to have promoted people to seek generosity/wealth information. To confirm this possibility and to replicate the results of Study 1, we established </w:t>
      </w:r>
      <w:r w:rsidRPr="00562D1D">
        <w:t>a control condition</w:t>
      </w:r>
      <w:r>
        <w:rPr>
          <w:rFonts w:hint="eastAsia"/>
        </w:rPr>
        <w:t xml:space="preserve"> i</w:t>
      </w:r>
      <w:r w:rsidRPr="00562D1D">
        <w:t>n Study 2.</w:t>
      </w:r>
    </w:p>
    <w:p w14:paraId="558C431B" w14:textId="77777777" w:rsidR="00D96C55" w:rsidRPr="00A25B4E" w:rsidRDefault="00D96C55" w:rsidP="00D96C55">
      <w:pPr>
        <w:snapToGrid w:val="0"/>
        <w:spacing w:line="480" w:lineRule="auto"/>
        <w:ind w:firstLine="840"/>
        <w:jc w:val="left"/>
      </w:pPr>
    </w:p>
    <w:p w14:paraId="00F74EB6" w14:textId="77777777" w:rsidR="00D96C55" w:rsidRPr="00AD224D" w:rsidRDefault="00D96C55" w:rsidP="00D96C55">
      <w:pPr>
        <w:snapToGrid w:val="0"/>
        <w:spacing w:line="480" w:lineRule="auto"/>
        <w:jc w:val="center"/>
        <w:rPr>
          <w:b/>
        </w:rPr>
      </w:pPr>
      <w:r>
        <w:rPr>
          <w:rFonts w:hint="eastAsia"/>
          <w:b/>
        </w:rPr>
        <w:t>3</w:t>
      </w:r>
      <w:r w:rsidRPr="00877111">
        <w:rPr>
          <w:rFonts w:eastAsia="Times New Roman"/>
          <w:b/>
        </w:rPr>
        <w:t xml:space="preserve">. </w:t>
      </w:r>
      <w:r>
        <w:rPr>
          <w:rFonts w:hint="eastAsia"/>
          <w:b/>
        </w:rPr>
        <w:t>Study 2</w:t>
      </w:r>
    </w:p>
    <w:p w14:paraId="2A933ED0" w14:textId="77777777" w:rsidR="00D96C55" w:rsidRPr="00AD224D" w:rsidRDefault="00D96C55" w:rsidP="00D96C55">
      <w:pPr>
        <w:snapToGrid w:val="0"/>
        <w:spacing w:line="480" w:lineRule="auto"/>
        <w:rPr>
          <w:b/>
        </w:rPr>
      </w:pPr>
      <w:r>
        <w:rPr>
          <w:rFonts w:hint="eastAsia"/>
          <w:b/>
        </w:rPr>
        <w:t>3</w:t>
      </w:r>
      <w:r w:rsidRPr="00877111">
        <w:rPr>
          <w:rFonts w:eastAsia="Times New Roman"/>
          <w:b/>
        </w:rPr>
        <w:t xml:space="preserve">.1. </w:t>
      </w:r>
      <w:r>
        <w:rPr>
          <w:rFonts w:hint="eastAsia"/>
          <w:b/>
        </w:rPr>
        <w:t>Methods</w:t>
      </w:r>
    </w:p>
    <w:p w14:paraId="6DDD68DC" w14:textId="4A95EB03" w:rsidR="00D96C55" w:rsidRPr="00F56A74" w:rsidRDefault="00D96C55" w:rsidP="00D96C55">
      <w:pPr>
        <w:snapToGrid w:val="0"/>
        <w:spacing w:line="480" w:lineRule="auto"/>
        <w:ind w:firstLine="840"/>
        <w:jc w:val="left"/>
      </w:pPr>
      <w:r w:rsidRPr="00877111">
        <w:rPr>
          <w:rFonts w:eastAsia="Times New Roman"/>
          <w:b/>
        </w:rPr>
        <w:t xml:space="preserve">Participants and </w:t>
      </w:r>
      <w:r>
        <w:rPr>
          <w:rFonts w:eastAsia="Times New Roman"/>
          <w:b/>
        </w:rPr>
        <w:t>s</w:t>
      </w:r>
      <w:r w:rsidRPr="00877111">
        <w:rPr>
          <w:rFonts w:eastAsia="Times New Roman"/>
          <w:b/>
        </w:rPr>
        <w:t xml:space="preserve">tudy </w:t>
      </w:r>
      <w:r>
        <w:rPr>
          <w:rFonts w:eastAsia="Times New Roman"/>
          <w:b/>
        </w:rPr>
        <w:t>d</w:t>
      </w:r>
      <w:r w:rsidRPr="00877111">
        <w:rPr>
          <w:rFonts w:eastAsia="Times New Roman"/>
          <w:b/>
        </w:rPr>
        <w:t>esign</w:t>
      </w:r>
      <w:r>
        <w:rPr>
          <w:rFonts w:hint="eastAsia"/>
          <w:b/>
        </w:rPr>
        <w:t>.</w:t>
      </w:r>
      <w:r>
        <w:rPr>
          <w:rFonts w:hint="eastAsia"/>
        </w:rPr>
        <w:t xml:space="preserve"> </w:t>
      </w:r>
      <w:r>
        <w:t xml:space="preserve">We recruited new 600 </w:t>
      </w:r>
      <w:r w:rsidRPr="00877111">
        <w:rPr>
          <w:rFonts w:eastAsia="Times New Roman"/>
        </w:rPr>
        <w:t>participants (</w:t>
      </w:r>
      <w:r>
        <w:rPr>
          <w:rFonts w:hint="eastAsia"/>
        </w:rPr>
        <w:t>329</w:t>
      </w:r>
      <w:r w:rsidRPr="00877111">
        <w:rPr>
          <w:rFonts w:eastAsia="Times New Roman"/>
        </w:rPr>
        <w:t xml:space="preserve"> men, </w:t>
      </w:r>
      <w:r>
        <w:rPr>
          <w:rFonts w:hint="eastAsia"/>
        </w:rPr>
        <w:t>268</w:t>
      </w:r>
      <w:r w:rsidRPr="00877111">
        <w:rPr>
          <w:rFonts w:eastAsia="Times New Roman"/>
        </w:rPr>
        <w:t xml:space="preserve"> women</w:t>
      </w:r>
      <w:r>
        <w:rPr>
          <w:rFonts w:hint="eastAsia"/>
        </w:rPr>
        <w:t xml:space="preserve">, 3 others; </w:t>
      </w:r>
      <w:r w:rsidRPr="00001CF2">
        <w:rPr>
          <w:rFonts w:hint="eastAsia"/>
          <w:i/>
          <w:iCs/>
        </w:rPr>
        <w:t>M</w:t>
      </w:r>
      <w:r w:rsidRPr="00001CF2">
        <w:rPr>
          <w:rFonts w:hint="eastAsia"/>
          <w:vertAlign w:val="subscript"/>
        </w:rPr>
        <w:t>age</w:t>
      </w:r>
      <w:r>
        <w:rPr>
          <w:rFonts w:hint="eastAsia"/>
        </w:rPr>
        <w:t xml:space="preserve"> = 41.57, </w:t>
      </w:r>
      <w:r w:rsidRPr="00877111">
        <w:rPr>
          <w:rFonts w:eastAsia="Times New Roman"/>
          <w:i/>
        </w:rPr>
        <w:t>SD</w:t>
      </w:r>
      <w:r w:rsidRPr="00001CF2">
        <w:rPr>
          <w:rFonts w:hint="eastAsia"/>
          <w:vertAlign w:val="subscript"/>
        </w:rPr>
        <w:t>age</w:t>
      </w:r>
      <w:r w:rsidRPr="00877111">
        <w:rPr>
          <w:rFonts w:eastAsia="Times New Roman"/>
        </w:rPr>
        <w:t xml:space="preserve"> = 1</w:t>
      </w:r>
      <w:r>
        <w:rPr>
          <w:rFonts w:hint="eastAsia"/>
        </w:rPr>
        <w:t>2</w:t>
      </w:r>
      <w:r w:rsidRPr="00877111">
        <w:rPr>
          <w:rFonts w:eastAsia="Times New Roman"/>
        </w:rPr>
        <w:t>.</w:t>
      </w:r>
      <w:r>
        <w:rPr>
          <w:rFonts w:hint="eastAsia"/>
        </w:rPr>
        <w:t>89</w:t>
      </w:r>
      <w:r w:rsidRPr="00877111">
        <w:rPr>
          <w:rFonts w:eastAsia="Times New Roman"/>
        </w:rPr>
        <w:t>; range: 1</w:t>
      </w:r>
      <w:r>
        <w:rPr>
          <w:rFonts w:hint="eastAsia"/>
        </w:rPr>
        <w:t>8</w:t>
      </w:r>
      <w:r w:rsidRPr="00877111">
        <w:rPr>
          <w:rFonts w:eastAsia="Times New Roman"/>
        </w:rPr>
        <w:t>–</w:t>
      </w:r>
      <w:r>
        <w:rPr>
          <w:rFonts w:hint="eastAsia"/>
        </w:rPr>
        <w:t>78</w:t>
      </w:r>
      <w:r w:rsidRPr="00877111">
        <w:rPr>
          <w:rFonts w:eastAsia="Times New Roman"/>
        </w:rPr>
        <w:t xml:space="preserve">) </w:t>
      </w:r>
      <w:r>
        <w:rPr>
          <w:rFonts w:hint="eastAsia"/>
        </w:rPr>
        <w:t xml:space="preserve">in December 2020 </w:t>
      </w:r>
      <w:r w:rsidRPr="00877111">
        <w:rPr>
          <w:rFonts w:eastAsia="Times New Roman"/>
        </w:rPr>
        <w:t xml:space="preserve">from </w:t>
      </w:r>
      <w:r>
        <w:rPr>
          <w:rFonts w:hint="eastAsia"/>
        </w:rPr>
        <w:t>Amazon Mechanical</w:t>
      </w:r>
      <w:r w:rsidR="00461D94">
        <w:t xml:space="preserve"> Turk</w:t>
      </w:r>
      <w:r w:rsidR="00D0555D">
        <w:rPr>
          <w:rFonts w:hint="eastAsia"/>
        </w:rPr>
        <w:t xml:space="preserve"> via CloudResearch</w:t>
      </w:r>
      <w:r w:rsidRPr="00877111">
        <w:rPr>
          <w:rFonts w:eastAsia="Times New Roman"/>
        </w:rPr>
        <w:t>.</w:t>
      </w:r>
      <w:r>
        <w:rPr>
          <w:rFonts w:hint="eastAsia"/>
        </w:rPr>
        <w:t xml:space="preserve"> </w:t>
      </w:r>
      <w:r>
        <w:rPr>
          <w:rFonts w:eastAsia="Times New Roman"/>
        </w:rPr>
        <w:t>E</w:t>
      </w:r>
      <w:r>
        <w:rPr>
          <w:rFonts w:hint="eastAsia"/>
        </w:rPr>
        <w:t xml:space="preserve">ach participant was randomly assigned to either </w:t>
      </w:r>
      <w:r>
        <w:t>U</w:t>
      </w:r>
      <w:r>
        <w:rPr>
          <w:rFonts w:hint="eastAsia"/>
        </w:rPr>
        <w:t>nequal</w:t>
      </w:r>
      <w:r w:rsidRPr="00B77251">
        <w:rPr>
          <w:rFonts w:eastAsia="Times New Roman"/>
        </w:rPr>
        <w:t xml:space="preserve"> </w:t>
      </w:r>
      <w:r>
        <w:lastRenderedPageBreak/>
        <w:t>G</w:t>
      </w:r>
      <w:r>
        <w:rPr>
          <w:rFonts w:hint="eastAsia"/>
        </w:rPr>
        <w:t>enerosity</w:t>
      </w:r>
      <w:r w:rsidRPr="00B77251">
        <w:rPr>
          <w:rFonts w:eastAsia="Times New Roman"/>
        </w:rPr>
        <w:t xml:space="preserve"> </w:t>
      </w:r>
      <w:r>
        <w:rPr>
          <w:rFonts w:hint="eastAsia"/>
        </w:rPr>
        <w:t>(</w:t>
      </w:r>
      <w:r w:rsidRPr="00F7769E">
        <w:rPr>
          <w:i/>
          <w:iCs/>
        </w:rPr>
        <w:t>n</w:t>
      </w:r>
      <w:r w:rsidRPr="00D64804">
        <w:t xml:space="preserve"> = </w:t>
      </w:r>
      <w:r>
        <w:rPr>
          <w:rFonts w:hint="eastAsia"/>
        </w:rPr>
        <w:t xml:space="preserve">202), </w:t>
      </w:r>
      <w:r>
        <w:t>U</w:t>
      </w:r>
      <w:r>
        <w:rPr>
          <w:rFonts w:hint="eastAsia"/>
        </w:rPr>
        <w:t xml:space="preserve">nequal </w:t>
      </w:r>
      <w:r>
        <w:t>W</w:t>
      </w:r>
      <w:r>
        <w:rPr>
          <w:rFonts w:hint="eastAsia"/>
        </w:rPr>
        <w:t>ealth (</w:t>
      </w:r>
      <w:r w:rsidRPr="00F7769E">
        <w:rPr>
          <w:i/>
          <w:iCs/>
        </w:rPr>
        <w:t>n</w:t>
      </w:r>
      <w:r w:rsidRPr="00D64804">
        <w:t xml:space="preserve"> = </w:t>
      </w:r>
      <w:r>
        <w:rPr>
          <w:rFonts w:hint="eastAsia"/>
        </w:rPr>
        <w:t xml:space="preserve">201), or </w:t>
      </w:r>
      <w:r>
        <w:t>C</w:t>
      </w:r>
      <w:r>
        <w:rPr>
          <w:rFonts w:hint="eastAsia"/>
        </w:rPr>
        <w:t>ontrol (</w:t>
      </w:r>
      <w:r w:rsidRPr="00F7769E">
        <w:rPr>
          <w:i/>
          <w:iCs/>
        </w:rPr>
        <w:t>n</w:t>
      </w:r>
      <w:r w:rsidRPr="00D64804">
        <w:t xml:space="preserve"> = </w:t>
      </w:r>
      <w:r>
        <w:rPr>
          <w:rFonts w:hint="eastAsia"/>
        </w:rPr>
        <w:t>197) condition</w:t>
      </w:r>
      <w:r w:rsidRPr="00877111">
        <w:rPr>
          <w:rFonts w:eastAsia="Times New Roman"/>
        </w:rPr>
        <w:t>.</w:t>
      </w:r>
      <w:r>
        <w:rPr>
          <w:rFonts w:hint="eastAsia"/>
        </w:rPr>
        <w:t xml:space="preserve"> </w:t>
      </w:r>
      <w:r w:rsidR="00493C01" w:rsidRPr="00243E37">
        <w:rPr>
          <w:shd w:val="pct15" w:color="auto" w:fill="FFFFFF"/>
        </w:rPr>
        <w:t xml:space="preserve">No participants were excluded from the </w:t>
      </w:r>
      <w:r w:rsidR="00493C01" w:rsidRPr="00243E37">
        <w:rPr>
          <w:rFonts w:hint="eastAsia"/>
          <w:shd w:val="pct15" w:color="auto" w:fill="FFFFFF"/>
        </w:rPr>
        <w:t>study</w:t>
      </w:r>
      <w:r w:rsidR="00493C01" w:rsidRPr="00243E37">
        <w:rPr>
          <w:shd w:val="pct15" w:color="auto" w:fill="FFFFFF"/>
        </w:rPr>
        <w:t>.</w:t>
      </w:r>
      <w:r w:rsidR="00493C01">
        <w:rPr>
          <w:rFonts w:hint="eastAsia"/>
        </w:rPr>
        <w:t xml:space="preserve"> </w:t>
      </w:r>
      <w:r>
        <w:t>We ran a power analysis using G*Power (Faul et al., 2007) based on 90.4% versus 73%</w:t>
      </w:r>
      <w:r w:rsidRPr="00F24EEE">
        <w:t xml:space="preserve"> </w:t>
      </w:r>
      <w:r>
        <w:t>of participants seeking generosity information in the Unequal Generosity and Control conditions, respectively (</w:t>
      </w:r>
      <w:r w:rsidR="00F24EEE" w:rsidRPr="00570397">
        <w:rPr>
          <w:rFonts w:hint="eastAsia"/>
          <w:shd w:val="pct15" w:color="auto" w:fill="FFFFFF"/>
        </w:rPr>
        <w:t>see Supplementary Material for details</w:t>
      </w:r>
      <w:r>
        <w:t>); the power analysis indicated we</w:t>
      </w:r>
      <w:r w:rsidR="00F24EEE">
        <w:rPr>
          <w:rFonts w:hint="eastAsia"/>
        </w:rPr>
        <w:t xml:space="preserve"> would</w:t>
      </w:r>
      <w:r>
        <w:t xml:space="preserve"> need 188 participants </w:t>
      </w:r>
      <w:r>
        <w:rPr>
          <w:rFonts w:hint="eastAsia"/>
        </w:rPr>
        <w:t xml:space="preserve">per condition </w:t>
      </w:r>
      <w:r>
        <w:t>to detect an effect with α = .05 with 95% power.</w:t>
      </w:r>
      <w:r>
        <w:rPr>
          <w:rFonts w:hint="eastAsia"/>
        </w:rPr>
        <w:t xml:space="preserve"> </w:t>
      </w:r>
      <w:r w:rsidRPr="00877111">
        <w:rPr>
          <w:rFonts w:eastAsia="Times New Roman"/>
        </w:rPr>
        <w:t xml:space="preserve"> </w:t>
      </w:r>
    </w:p>
    <w:p w14:paraId="620CA735" w14:textId="4D75D2DE" w:rsidR="00D96C55" w:rsidRDefault="00D96C55" w:rsidP="00D96C55">
      <w:pPr>
        <w:snapToGrid w:val="0"/>
        <w:spacing w:line="480" w:lineRule="auto"/>
        <w:ind w:firstLine="840"/>
        <w:jc w:val="left"/>
      </w:pPr>
      <w:r>
        <w:rPr>
          <w:rFonts w:hint="eastAsia"/>
          <w:b/>
        </w:rPr>
        <w:t xml:space="preserve">Procedure. </w:t>
      </w:r>
      <w:r>
        <w:rPr>
          <w:rFonts w:hint="eastAsia"/>
        </w:rPr>
        <w:t>A</w:t>
      </w:r>
      <w:r>
        <w:t>ll</w:t>
      </w:r>
      <w:r>
        <w:rPr>
          <w:rFonts w:hint="eastAsia"/>
        </w:rPr>
        <w:t xml:space="preserve"> procedures were identical </w:t>
      </w:r>
      <w:r>
        <w:t xml:space="preserve">to </w:t>
      </w:r>
      <w:r>
        <w:rPr>
          <w:rFonts w:hint="eastAsia"/>
        </w:rPr>
        <w:t>Study 1</w:t>
      </w:r>
      <w:r>
        <w:t>, except that we added a C</w:t>
      </w:r>
      <w:r>
        <w:rPr>
          <w:rFonts w:hint="eastAsia"/>
        </w:rPr>
        <w:t>ontrol condition</w:t>
      </w:r>
      <w:r>
        <w:t xml:space="preserve"> where</w:t>
      </w:r>
      <w:r>
        <w:rPr>
          <w:rFonts w:hint="eastAsia"/>
        </w:rPr>
        <w:t xml:space="preserve"> participants were not shown the distribution</w:t>
      </w:r>
      <w:r>
        <w:t>s</w:t>
      </w:r>
      <w:r>
        <w:rPr>
          <w:rFonts w:hint="eastAsia"/>
        </w:rPr>
        <w:t xml:space="preserve"> made by potential partners before choosing their preferred information.</w:t>
      </w:r>
      <w:r w:rsidR="00783080">
        <w:t xml:space="preserve"> As in Study 1, the manipulation check was successful: participants in the Unequal Wealth condition agreed that wealth varied more in the group than did generosity, </w:t>
      </w:r>
      <w:r w:rsidR="00EE1347">
        <w:t xml:space="preserve">and </w:t>
      </w:r>
      <w:r w:rsidR="00783080">
        <w:t xml:space="preserve">vice versa in the Unequal Generosity condition, </w:t>
      </w:r>
      <w:r w:rsidR="00EE1347">
        <w:t xml:space="preserve">with </w:t>
      </w:r>
      <w:r w:rsidR="00783080">
        <w:t xml:space="preserve">no difference in the Control condition (see Supplementary). </w:t>
      </w:r>
    </w:p>
    <w:p w14:paraId="1A77986A" w14:textId="10F43DF5" w:rsidR="00D96C55" w:rsidRPr="00AD224D" w:rsidRDefault="0000118E" w:rsidP="00D96C55">
      <w:pPr>
        <w:snapToGrid w:val="0"/>
        <w:spacing w:line="480" w:lineRule="auto"/>
        <w:jc w:val="left"/>
        <w:rPr>
          <w:b/>
        </w:rPr>
      </w:pPr>
      <w:r>
        <w:rPr>
          <w:rFonts w:hint="eastAsia"/>
          <w:b/>
        </w:rPr>
        <w:t>3</w:t>
      </w:r>
      <w:r w:rsidR="00D96C55" w:rsidRPr="00877111">
        <w:rPr>
          <w:rFonts w:eastAsia="Times New Roman"/>
          <w:b/>
        </w:rPr>
        <w:t>.</w:t>
      </w:r>
      <w:r w:rsidR="00D96C55">
        <w:rPr>
          <w:rFonts w:hint="eastAsia"/>
          <w:b/>
        </w:rPr>
        <w:t>2</w:t>
      </w:r>
      <w:r w:rsidR="00D96C55" w:rsidRPr="00877111">
        <w:rPr>
          <w:rFonts w:eastAsia="Times New Roman"/>
          <w:b/>
        </w:rPr>
        <w:t xml:space="preserve">. </w:t>
      </w:r>
      <w:r w:rsidR="00D96C55">
        <w:rPr>
          <w:rFonts w:hint="eastAsia"/>
          <w:b/>
        </w:rPr>
        <w:t>Results and discussion</w:t>
      </w:r>
    </w:p>
    <w:p w14:paraId="3ECBE29A" w14:textId="566E447E" w:rsidR="00596D8A" w:rsidRPr="00596D8A" w:rsidRDefault="00D96C55" w:rsidP="008C0F9F">
      <w:pPr>
        <w:pStyle w:val="pf0"/>
        <w:spacing w:before="0" w:beforeAutospacing="0" w:after="0" w:afterAutospacing="0" w:line="480" w:lineRule="auto"/>
        <w:ind w:firstLine="720"/>
        <w:rPr>
          <w:rFonts w:asciiTheme="majorHAnsi" w:eastAsiaTheme="majorEastAsia" w:hAnsiTheme="majorHAnsi" w:cstheme="majorBidi"/>
          <w:color w:val="0F4761" w:themeColor="accent1" w:themeShade="BF"/>
          <w:sz w:val="32"/>
          <w:szCs w:val="32"/>
        </w:rPr>
      </w:pPr>
      <w:r>
        <w:t xml:space="preserve">For our main analysis, </w:t>
      </w:r>
      <w:r>
        <w:rPr>
          <w:bCs/>
        </w:rPr>
        <w:t>a</w:t>
      </w:r>
      <w:r w:rsidRPr="0018454E">
        <w:t xml:space="preserve"> </w:t>
      </w:r>
      <w:r>
        <w:rPr>
          <w:rFonts w:hint="eastAsia"/>
        </w:rPr>
        <w:t>Chi-square</w:t>
      </w:r>
      <w:r w:rsidRPr="0018454E">
        <w:t xml:space="preserve"> test </w:t>
      </w:r>
      <w:r>
        <w:rPr>
          <w:rFonts w:hint="eastAsia"/>
        </w:rPr>
        <w:t xml:space="preserve">revealed that the </w:t>
      </w:r>
      <w:r>
        <w:t xml:space="preserve">people preferred generosity information at different rates across conditions </w:t>
      </w:r>
      <w:r>
        <w:rPr>
          <w:rFonts w:hint="eastAsia"/>
        </w:rPr>
        <w:t>(</w:t>
      </w:r>
      <w:r w:rsidRPr="00D14D46">
        <w:t>χ</w:t>
      </w:r>
      <w:r w:rsidRPr="00D14D46">
        <w:rPr>
          <w:vertAlign w:val="superscript"/>
        </w:rPr>
        <w:t>2</w:t>
      </w:r>
      <w:r w:rsidRPr="00D14D46">
        <w:t xml:space="preserve"> (2) = </w:t>
      </w:r>
      <w:r>
        <w:rPr>
          <w:rFonts w:hint="eastAsia"/>
        </w:rPr>
        <w:t xml:space="preserve">63.18, </w:t>
      </w:r>
      <w:r w:rsidRPr="00CB0660">
        <w:rPr>
          <w:rFonts w:hint="eastAsia"/>
          <w:i/>
          <w:iCs/>
        </w:rPr>
        <w:t>p</w:t>
      </w:r>
      <w:r>
        <w:rPr>
          <w:rFonts w:hint="eastAsia"/>
        </w:rPr>
        <w:t xml:space="preserve"> &lt; .001</w:t>
      </w:r>
      <w:r>
        <w:t xml:space="preserve">, Figure </w:t>
      </w:r>
      <w:r w:rsidR="009554AA">
        <w:rPr>
          <w:rFonts w:eastAsiaTheme="minorEastAsia" w:hint="eastAsia"/>
          <w:lang w:eastAsia="ja-JP"/>
        </w:rPr>
        <w:t>2B</w:t>
      </w:r>
      <w:r>
        <w:rPr>
          <w:rFonts w:hint="eastAsia"/>
        </w:rPr>
        <w:t xml:space="preserve">). </w:t>
      </w:r>
      <w:r>
        <w:t xml:space="preserve">Replicating the results </w:t>
      </w:r>
      <w:r>
        <w:rPr>
          <w:rFonts w:hint="eastAsia"/>
        </w:rPr>
        <w:t xml:space="preserve">of Study 1, </w:t>
      </w:r>
      <w:r>
        <w:t>F</w:t>
      </w:r>
      <w:r w:rsidRPr="0018454E">
        <w:t>isher’s exact test</w:t>
      </w:r>
      <w:r>
        <w:t xml:space="preserve">s showed that participants sought generosity information more often in the Unequal Generosity condition than in the Unequal Wealth Condition (182/202 (90.1%) vs. 122/201 (60.7%), respectively, </w:t>
      </w:r>
      <w:r>
        <w:rPr>
          <w:rFonts w:hint="eastAsia"/>
        </w:rPr>
        <w:t xml:space="preserve">odds ratio = </w:t>
      </w:r>
      <w:r>
        <w:t>5.8</w:t>
      </w:r>
      <w:r w:rsidR="00964125">
        <w:rPr>
          <w:rFonts w:eastAsiaTheme="minorEastAsia" w:hint="eastAsia"/>
          <w:lang w:eastAsia="ja-JP"/>
        </w:rPr>
        <w:t>7</w:t>
      </w:r>
      <w:r>
        <w:t xml:space="preserve"> [3.</w:t>
      </w:r>
      <w:r w:rsidR="00DA40EC">
        <w:rPr>
          <w:rFonts w:eastAsiaTheme="minorEastAsia" w:hint="eastAsia"/>
          <w:lang w:eastAsia="ja-JP"/>
        </w:rPr>
        <w:t>35</w:t>
      </w:r>
      <w:r>
        <w:t>, 10.</w:t>
      </w:r>
      <w:r w:rsidR="00DA40EC">
        <w:rPr>
          <w:rFonts w:eastAsiaTheme="minorEastAsia" w:hint="eastAsia"/>
          <w:lang w:eastAsia="ja-JP"/>
        </w:rPr>
        <w:t>67</w:t>
      </w:r>
      <w:r>
        <w:t>]</w:t>
      </w:r>
      <w:r>
        <w:rPr>
          <w:rFonts w:hint="eastAsia"/>
        </w:rPr>
        <w:t xml:space="preserve">, </w:t>
      </w:r>
      <w:r w:rsidRPr="00CB0660">
        <w:rPr>
          <w:rFonts w:hint="eastAsia"/>
          <w:i/>
          <w:iCs/>
        </w:rPr>
        <w:t>p</w:t>
      </w:r>
      <w:r>
        <w:rPr>
          <w:rFonts w:hint="eastAsia"/>
        </w:rPr>
        <w:t xml:space="preserve"> &lt; .001)</w:t>
      </w:r>
      <w:r>
        <w:t xml:space="preserve">. Participants were more likely to seek generosity information in the Control Condition than the Unequal Wealth condition </w:t>
      </w:r>
      <w:bookmarkStart w:id="7" w:name="_Hlk169193471"/>
      <w:r w:rsidRPr="006C5D5B">
        <w:t xml:space="preserve">(171/197 (86.8%) vs. 122/201 (60.7%), respectively, odds ratio </w:t>
      </w:r>
      <w:r w:rsidR="00461D94">
        <w:t xml:space="preserve">= </w:t>
      </w:r>
      <w:r w:rsidRPr="006C5D5B">
        <w:t>4.2</w:t>
      </w:r>
      <w:r w:rsidR="001C4F62">
        <w:rPr>
          <w:rFonts w:eastAsiaTheme="minorEastAsia" w:hint="eastAsia"/>
          <w:lang w:eastAsia="ja-JP"/>
        </w:rPr>
        <w:t>4</w:t>
      </w:r>
      <w:r w:rsidRPr="006C5D5B">
        <w:t xml:space="preserve"> [2.5</w:t>
      </w:r>
      <w:r w:rsidR="001C4F62">
        <w:rPr>
          <w:rFonts w:eastAsiaTheme="minorEastAsia" w:hint="eastAsia"/>
          <w:lang w:eastAsia="ja-JP"/>
        </w:rPr>
        <w:t>2</w:t>
      </w:r>
      <w:r w:rsidRPr="006C5D5B">
        <w:t>, 7.</w:t>
      </w:r>
      <w:r w:rsidR="001C4F62">
        <w:rPr>
          <w:rFonts w:eastAsiaTheme="minorEastAsia" w:hint="eastAsia"/>
          <w:lang w:eastAsia="ja-JP"/>
        </w:rPr>
        <w:t>3</w:t>
      </w:r>
      <w:r w:rsidRPr="006C5D5B">
        <w:t xml:space="preserve">2], </w:t>
      </w:r>
      <w:r w:rsidRPr="006C5D5B">
        <w:rPr>
          <w:i/>
          <w:iCs/>
        </w:rPr>
        <w:t>p</w:t>
      </w:r>
      <w:r w:rsidRPr="006C5D5B">
        <w:t xml:space="preserve"> &lt;.001), </w:t>
      </w:r>
      <w:r>
        <w:t xml:space="preserve">suggesting that people attend more to wealth when wealth is known to vary. However, </w:t>
      </w:r>
      <w:r w:rsidRPr="006C5D5B">
        <w:t>the Control and Unequal Generosity conditions did not differ (171/197 (86.8%) vs. 182/202 (90.1%), respectively, odds ratio 0.72 [0.3</w:t>
      </w:r>
      <w:r w:rsidR="00A60C5A">
        <w:rPr>
          <w:rFonts w:eastAsiaTheme="minorEastAsia" w:hint="eastAsia"/>
          <w:lang w:eastAsia="ja-JP"/>
        </w:rPr>
        <w:t>7</w:t>
      </w:r>
      <w:r w:rsidRPr="006C5D5B">
        <w:t>, 1.</w:t>
      </w:r>
      <w:r w:rsidR="00A60C5A">
        <w:rPr>
          <w:rFonts w:eastAsiaTheme="minorEastAsia" w:hint="eastAsia"/>
          <w:lang w:eastAsia="ja-JP"/>
        </w:rPr>
        <w:t>40</w:t>
      </w:r>
      <w:r w:rsidRPr="006C5D5B">
        <w:t xml:space="preserve">], </w:t>
      </w:r>
      <w:r w:rsidRPr="006C5D5B">
        <w:rPr>
          <w:i/>
          <w:iCs/>
        </w:rPr>
        <w:t>p</w:t>
      </w:r>
      <w:r w:rsidRPr="006C5D5B">
        <w:t xml:space="preserve"> = .3</w:t>
      </w:r>
      <w:r w:rsidR="00F97D58">
        <w:rPr>
          <w:rFonts w:eastAsiaTheme="minorEastAsia" w:hint="eastAsia"/>
          <w:lang w:eastAsia="ja-JP"/>
        </w:rPr>
        <w:t>4</w:t>
      </w:r>
      <w:r w:rsidR="00A60C5A">
        <w:rPr>
          <w:rFonts w:eastAsiaTheme="minorEastAsia" w:hint="eastAsia"/>
          <w:lang w:eastAsia="ja-JP"/>
        </w:rPr>
        <w:t>8</w:t>
      </w:r>
      <w:r w:rsidRPr="006C5D5B">
        <w:t>)</w:t>
      </w:r>
      <w:r>
        <w:t xml:space="preserve">, suggesting that when </w:t>
      </w:r>
      <w:r w:rsidR="00AE4C64" w:rsidRPr="00243E37">
        <w:rPr>
          <w:rFonts w:eastAsiaTheme="minorEastAsia" w:hint="eastAsia"/>
          <w:shd w:val="pct15" w:color="auto" w:fill="FFFFFF"/>
          <w:lang w:eastAsia="ja-JP"/>
        </w:rPr>
        <w:lastRenderedPageBreak/>
        <w:t>our participants</w:t>
      </w:r>
      <w:r w:rsidR="00AE4C64" w:rsidRPr="00243E37">
        <w:rPr>
          <w:shd w:val="pct15" w:color="auto" w:fill="FFFFFF"/>
        </w:rPr>
        <w:t xml:space="preserve"> </w:t>
      </w:r>
      <w:r w:rsidRPr="00243E37">
        <w:rPr>
          <w:shd w:val="pct15" w:color="auto" w:fill="FFFFFF"/>
        </w:rPr>
        <w:t>d</w:t>
      </w:r>
      <w:r w:rsidR="005E3F24" w:rsidRPr="00243E37">
        <w:rPr>
          <w:rFonts w:eastAsiaTheme="minorEastAsia" w:hint="eastAsia"/>
          <w:shd w:val="pct15" w:color="auto" w:fill="FFFFFF"/>
          <w:lang w:eastAsia="ja-JP"/>
        </w:rPr>
        <w:t>id</w:t>
      </w:r>
      <w:r w:rsidRPr="00243E37">
        <w:rPr>
          <w:shd w:val="pct15" w:color="auto" w:fill="FFFFFF"/>
        </w:rPr>
        <w:t>n’t</w:t>
      </w:r>
      <w:r>
        <w:t xml:space="preserve"> know whether wealth varies more than generosity, they default</w:t>
      </w:r>
      <w:r w:rsidR="007714AC">
        <w:t>ed</w:t>
      </w:r>
      <w:r>
        <w:t xml:space="preserve"> to preferring to know about others’ generosity (consistent with the arguments in </w:t>
      </w:r>
      <w:proofErr w:type="spellStart"/>
      <w:r>
        <w:t>Eisenbruch</w:t>
      </w:r>
      <w:proofErr w:type="spellEnd"/>
      <w:r>
        <w:t xml:space="preserve"> &amp; Krasnow, 2022). </w:t>
      </w:r>
      <w:r w:rsidR="00596D8A" w:rsidRPr="00596D8A">
        <w:rPr>
          <w:rStyle w:val="Heading2Char"/>
        </w:rPr>
        <w:t xml:space="preserve"> </w:t>
      </w:r>
      <w:r w:rsidR="00596D8A" w:rsidRPr="00596D8A">
        <w:rPr>
          <w:rStyle w:val="cf01"/>
          <w:rFonts w:ascii="Times New Roman" w:eastAsiaTheme="majorEastAsia" w:hAnsi="Times New Roman" w:cs="Times New Roman"/>
          <w:sz w:val="24"/>
          <w:szCs w:val="24"/>
        </w:rPr>
        <w:t xml:space="preserve">Our results are even stronger </w:t>
      </w:r>
      <w:r w:rsidR="00596D8A">
        <w:rPr>
          <w:rStyle w:val="cf01"/>
          <w:rFonts w:ascii="Times New Roman" w:eastAsiaTheme="majorEastAsia" w:hAnsi="Times New Roman" w:cs="Times New Roman"/>
          <w:sz w:val="24"/>
          <w:szCs w:val="24"/>
        </w:rPr>
        <w:t xml:space="preserve">in our pre-registered analysis of just the </w:t>
      </w:r>
      <w:r w:rsidR="00596D8A" w:rsidRPr="00596D8A">
        <w:rPr>
          <w:rStyle w:val="cf01"/>
          <w:rFonts w:ascii="Times New Roman" w:eastAsiaTheme="majorEastAsia" w:hAnsi="Times New Roman" w:cs="Times New Roman"/>
          <w:sz w:val="24"/>
          <w:szCs w:val="24"/>
        </w:rPr>
        <w:t>participants who passed the manipulation check</w:t>
      </w:r>
      <w:r w:rsidR="00596D8A">
        <w:rPr>
          <w:rStyle w:val="cf01"/>
          <w:rFonts w:ascii="Times New Roman" w:eastAsiaTheme="majorEastAsia" w:hAnsi="Times New Roman" w:cs="Times New Roman"/>
          <w:sz w:val="24"/>
          <w:szCs w:val="24"/>
        </w:rPr>
        <w:t>: t</w:t>
      </w:r>
      <w:r w:rsidR="00596D8A" w:rsidRPr="00596D8A">
        <w:rPr>
          <w:rStyle w:val="cf01"/>
          <w:rFonts w:ascii="Times New Roman" w:eastAsiaTheme="majorEastAsia" w:hAnsi="Times New Roman" w:cs="Times New Roman"/>
          <w:sz w:val="24"/>
          <w:szCs w:val="24"/>
        </w:rPr>
        <w:t>hese participants preferred generosity information significantly more in the Unequal Generosity condition than in the Control condition (</w:t>
      </w:r>
      <w:r w:rsidR="00596D8A" w:rsidRPr="00596D8A">
        <w:rPr>
          <w:rStyle w:val="cf11"/>
          <w:rFonts w:ascii="Times New Roman" w:eastAsiaTheme="majorEastAsia" w:hAnsi="Times New Roman" w:cs="Times New Roman"/>
          <w:sz w:val="24"/>
          <w:szCs w:val="24"/>
        </w:rPr>
        <w:t>105/111 (94.6%) vs. 171/197 (86.8%), respectively, odds ratio = 2.6</w:t>
      </w:r>
      <w:r w:rsidR="00B74220">
        <w:rPr>
          <w:rStyle w:val="cf11"/>
          <w:rFonts w:ascii="Times New Roman" w:eastAsiaTheme="majorEastAsia" w:hAnsi="Times New Roman" w:cs="Times New Roman" w:hint="eastAsia"/>
          <w:sz w:val="24"/>
          <w:szCs w:val="24"/>
          <w:lang w:eastAsia="ja-JP"/>
        </w:rPr>
        <w:t>5</w:t>
      </w:r>
      <w:r w:rsidR="00596D8A" w:rsidRPr="00596D8A">
        <w:rPr>
          <w:rStyle w:val="cf11"/>
          <w:rFonts w:ascii="Times New Roman" w:eastAsiaTheme="majorEastAsia" w:hAnsi="Times New Roman" w:cs="Times New Roman"/>
          <w:sz w:val="24"/>
          <w:szCs w:val="24"/>
        </w:rPr>
        <w:t xml:space="preserve"> [1.0</w:t>
      </w:r>
      <w:r w:rsidR="00B74220">
        <w:rPr>
          <w:rStyle w:val="cf11"/>
          <w:rFonts w:ascii="Times New Roman" w:eastAsiaTheme="majorEastAsia" w:hAnsi="Times New Roman" w:cs="Times New Roman" w:hint="eastAsia"/>
          <w:sz w:val="24"/>
          <w:szCs w:val="24"/>
          <w:lang w:eastAsia="ja-JP"/>
        </w:rPr>
        <w:t>2</w:t>
      </w:r>
      <w:r w:rsidR="00596D8A" w:rsidRPr="00596D8A">
        <w:rPr>
          <w:rStyle w:val="cf11"/>
          <w:rFonts w:ascii="Times New Roman" w:eastAsiaTheme="majorEastAsia" w:hAnsi="Times New Roman" w:cs="Times New Roman"/>
          <w:sz w:val="24"/>
          <w:szCs w:val="24"/>
        </w:rPr>
        <w:t xml:space="preserve">, </w:t>
      </w:r>
      <w:r w:rsidR="00B74220">
        <w:rPr>
          <w:rStyle w:val="cf11"/>
          <w:rFonts w:ascii="Times New Roman" w:eastAsiaTheme="majorEastAsia" w:hAnsi="Times New Roman" w:cs="Times New Roman" w:hint="eastAsia"/>
          <w:sz w:val="24"/>
          <w:szCs w:val="24"/>
          <w:lang w:eastAsia="ja-JP"/>
        </w:rPr>
        <w:t>8</w:t>
      </w:r>
      <w:r w:rsidR="00596D8A" w:rsidRPr="00596D8A">
        <w:rPr>
          <w:rStyle w:val="cf11"/>
          <w:rFonts w:ascii="Times New Roman" w:eastAsiaTheme="majorEastAsia" w:hAnsi="Times New Roman" w:cs="Times New Roman"/>
          <w:sz w:val="24"/>
          <w:szCs w:val="24"/>
        </w:rPr>
        <w:t>.</w:t>
      </w:r>
      <w:r w:rsidR="00B74220">
        <w:rPr>
          <w:rStyle w:val="cf11"/>
          <w:rFonts w:ascii="Times New Roman" w:eastAsiaTheme="majorEastAsia" w:hAnsi="Times New Roman" w:cs="Times New Roman" w:hint="eastAsia"/>
          <w:sz w:val="24"/>
          <w:szCs w:val="24"/>
          <w:lang w:eastAsia="ja-JP"/>
        </w:rPr>
        <w:t>15</w:t>
      </w:r>
      <w:r w:rsidR="00596D8A" w:rsidRPr="00596D8A">
        <w:rPr>
          <w:rStyle w:val="cf11"/>
          <w:rFonts w:ascii="Times New Roman" w:eastAsiaTheme="majorEastAsia" w:hAnsi="Times New Roman" w:cs="Times New Roman"/>
          <w:sz w:val="24"/>
          <w:szCs w:val="24"/>
        </w:rPr>
        <w:t xml:space="preserve">], </w:t>
      </w:r>
      <w:r w:rsidR="00596D8A" w:rsidRPr="00596D8A">
        <w:rPr>
          <w:rStyle w:val="cf21"/>
          <w:rFonts w:ascii="Times New Roman" w:eastAsiaTheme="majorEastAsia" w:hAnsi="Times New Roman" w:cs="Times New Roman"/>
          <w:sz w:val="24"/>
          <w:szCs w:val="24"/>
        </w:rPr>
        <w:t>p</w:t>
      </w:r>
      <w:r w:rsidR="00596D8A" w:rsidRPr="00596D8A">
        <w:rPr>
          <w:rStyle w:val="cf11"/>
          <w:rFonts w:ascii="Times New Roman" w:eastAsiaTheme="majorEastAsia" w:hAnsi="Times New Roman" w:cs="Times New Roman"/>
          <w:sz w:val="24"/>
          <w:szCs w:val="24"/>
        </w:rPr>
        <w:t xml:space="preserve"> = .033), which in turn had higher generosity preferences than the Unequal Wealth condition (171/</w:t>
      </w:r>
      <w:r w:rsidR="0013107A">
        <w:rPr>
          <w:rStyle w:val="cf11"/>
          <w:rFonts w:ascii="Times New Roman" w:eastAsiaTheme="majorEastAsia" w:hAnsi="Times New Roman" w:cs="Times New Roman" w:hint="eastAsia"/>
          <w:sz w:val="24"/>
          <w:szCs w:val="24"/>
          <w:lang w:eastAsia="ja-JP"/>
        </w:rPr>
        <w:t>1</w:t>
      </w:r>
      <w:r w:rsidR="00596D8A" w:rsidRPr="00596D8A">
        <w:rPr>
          <w:rStyle w:val="cf11"/>
          <w:rFonts w:ascii="Times New Roman" w:eastAsiaTheme="majorEastAsia" w:hAnsi="Times New Roman" w:cs="Times New Roman"/>
          <w:sz w:val="24"/>
          <w:szCs w:val="24"/>
        </w:rPr>
        <w:t>97 (86.8%) vs. 71/131 (</w:t>
      </w:r>
      <w:r w:rsidR="00B74220">
        <w:rPr>
          <w:rStyle w:val="cf11"/>
          <w:rFonts w:ascii="Times New Roman" w:eastAsiaTheme="majorEastAsia" w:hAnsi="Times New Roman" w:cs="Times New Roman" w:hint="eastAsia"/>
          <w:sz w:val="24"/>
          <w:szCs w:val="24"/>
          <w:lang w:eastAsia="ja-JP"/>
        </w:rPr>
        <w:t>54</w:t>
      </w:r>
      <w:r w:rsidR="00596D8A" w:rsidRPr="00596D8A">
        <w:rPr>
          <w:rStyle w:val="cf11"/>
          <w:rFonts w:ascii="Times New Roman" w:eastAsiaTheme="majorEastAsia" w:hAnsi="Times New Roman" w:cs="Times New Roman"/>
          <w:sz w:val="24"/>
          <w:szCs w:val="24"/>
        </w:rPr>
        <w:t>.</w:t>
      </w:r>
      <w:r w:rsidR="00B74220">
        <w:rPr>
          <w:rStyle w:val="cf11"/>
          <w:rFonts w:ascii="Times New Roman" w:eastAsiaTheme="majorEastAsia" w:hAnsi="Times New Roman" w:cs="Times New Roman" w:hint="eastAsia"/>
          <w:sz w:val="24"/>
          <w:szCs w:val="24"/>
          <w:lang w:eastAsia="ja-JP"/>
        </w:rPr>
        <w:t>20</w:t>
      </w:r>
      <w:r w:rsidR="00596D8A" w:rsidRPr="00596D8A">
        <w:rPr>
          <w:rStyle w:val="cf11"/>
          <w:rFonts w:ascii="Times New Roman" w:eastAsiaTheme="majorEastAsia" w:hAnsi="Times New Roman" w:cs="Times New Roman"/>
          <w:sz w:val="24"/>
          <w:szCs w:val="24"/>
        </w:rPr>
        <w:t>%), respectively, odds ratio = 5.5</w:t>
      </w:r>
      <w:r w:rsidR="00345735">
        <w:rPr>
          <w:rStyle w:val="cf11"/>
          <w:rFonts w:ascii="Times New Roman" w:eastAsiaTheme="majorEastAsia" w:hAnsi="Times New Roman" w:cs="Times New Roman" w:hint="eastAsia"/>
          <w:sz w:val="24"/>
          <w:szCs w:val="24"/>
          <w:lang w:eastAsia="ja-JP"/>
        </w:rPr>
        <w:t>3</w:t>
      </w:r>
      <w:r w:rsidR="00596D8A" w:rsidRPr="00596D8A">
        <w:rPr>
          <w:rStyle w:val="cf11"/>
          <w:rFonts w:ascii="Times New Roman" w:eastAsiaTheme="majorEastAsia" w:hAnsi="Times New Roman" w:cs="Times New Roman"/>
          <w:sz w:val="24"/>
          <w:szCs w:val="24"/>
        </w:rPr>
        <w:t xml:space="preserve"> [3.</w:t>
      </w:r>
      <w:r w:rsidR="00345735">
        <w:rPr>
          <w:rStyle w:val="cf11"/>
          <w:rFonts w:ascii="Times New Roman" w:eastAsiaTheme="majorEastAsia" w:hAnsi="Times New Roman" w:cs="Times New Roman" w:hint="eastAsia"/>
          <w:sz w:val="24"/>
          <w:szCs w:val="24"/>
          <w:lang w:eastAsia="ja-JP"/>
        </w:rPr>
        <w:t>1</w:t>
      </w:r>
      <w:r w:rsidR="00596D8A" w:rsidRPr="00596D8A">
        <w:rPr>
          <w:rStyle w:val="cf11"/>
          <w:rFonts w:ascii="Times New Roman" w:eastAsiaTheme="majorEastAsia" w:hAnsi="Times New Roman" w:cs="Times New Roman"/>
          <w:sz w:val="24"/>
          <w:szCs w:val="24"/>
        </w:rPr>
        <w:t>5, 9.</w:t>
      </w:r>
      <w:r w:rsidR="00345735">
        <w:rPr>
          <w:rStyle w:val="cf11"/>
          <w:rFonts w:ascii="Times New Roman" w:eastAsiaTheme="majorEastAsia" w:hAnsi="Times New Roman" w:cs="Times New Roman" w:hint="eastAsia"/>
          <w:sz w:val="24"/>
          <w:szCs w:val="24"/>
          <w:lang w:eastAsia="ja-JP"/>
        </w:rPr>
        <w:t>91</w:t>
      </w:r>
      <w:r w:rsidR="00596D8A" w:rsidRPr="00596D8A">
        <w:rPr>
          <w:rStyle w:val="cf11"/>
          <w:rFonts w:ascii="Times New Roman" w:eastAsiaTheme="majorEastAsia" w:hAnsi="Times New Roman" w:cs="Times New Roman"/>
          <w:sz w:val="24"/>
          <w:szCs w:val="24"/>
        </w:rPr>
        <w:t xml:space="preserve">], </w:t>
      </w:r>
      <w:r w:rsidR="00596D8A" w:rsidRPr="00596D8A">
        <w:rPr>
          <w:rStyle w:val="cf21"/>
          <w:rFonts w:ascii="Times New Roman" w:eastAsiaTheme="majorEastAsia" w:hAnsi="Times New Roman" w:cs="Times New Roman"/>
          <w:sz w:val="24"/>
          <w:szCs w:val="24"/>
        </w:rPr>
        <w:t>p</w:t>
      </w:r>
      <w:r w:rsidR="00596D8A" w:rsidRPr="00596D8A">
        <w:rPr>
          <w:rStyle w:val="cf11"/>
          <w:rFonts w:ascii="Times New Roman" w:eastAsiaTheme="majorEastAsia" w:hAnsi="Times New Roman" w:cs="Times New Roman"/>
          <w:sz w:val="24"/>
          <w:szCs w:val="24"/>
        </w:rPr>
        <w:t xml:space="preserve"> &lt; .001; see Supplementary for full analyses.)</w:t>
      </w:r>
    </w:p>
    <w:p w14:paraId="2DB16FA5" w14:textId="78A2BADD" w:rsidR="00D96C55" w:rsidRDefault="00D96C55" w:rsidP="00596D8A">
      <w:pPr>
        <w:snapToGrid w:val="0"/>
        <w:spacing w:line="480" w:lineRule="auto"/>
        <w:ind w:firstLine="840"/>
        <w:jc w:val="left"/>
      </w:pPr>
      <w:r>
        <w:t>Binomial tests showed that p</w:t>
      </w:r>
      <w:r>
        <w:rPr>
          <w:rFonts w:hint="eastAsia"/>
        </w:rPr>
        <w:t>articipants s</w:t>
      </w:r>
      <w:r>
        <w:t>ought</w:t>
      </w:r>
      <w:r>
        <w:rPr>
          <w:rFonts w:hint="eastAsia"/>
        </w:rPr>
        <w:t xml:space="preserve"> generosity </w:t>
      </w:r>
      <w:r>
        <w:t xml:space="preserve">information more </w:t>
      </w:r>
      <w:r>
        <w:rPr>
          <w:rFonts w:hint="eastAsia"/>
        </w:rPr>
        <w:t xml:space="preserve">than wealth </w:t>
      </w:r>
      <w:r>
        <w:t xml:space="preserve">information in all three conditions, </w:t>
      </w:r>
      <w:r>
        <w:rPr>
          <w:rFonts w:hint="eastAsia"/>
        </w:rPr>
        <w:t xml:space="preserve">suggesting that there </w:t>
      </w:r>
      <w:r w:rsidR="00F63A5C" w:rsidRPr="00F63A5C">
        <w:rPr>
          <w:rFonts w:hint="eastAsia"/>
          <w:shd w:val="pct15" w:color="auto" w:fill="FFFFFF"/>
        </w:rPr>
        <w:t>was a</w:t>
      </w:r>
      <w:r>
        <w:rPr>
          <w:rFonts w:hint="eastAsia"/>
        </w:rPr>
        <w:t xml:space="preserve"> general tendency to seek generosity information (</w:t>
      </w:r>
      <w:r>
        <w:t xml:space="preserve">Unequal Generosity: 90.1%, </w:t>
      </w:r>
      <w:r w:rsidRPr="00CC6F71">
        <w:rPr>
          <w:rFonts w:hint="eastAsia"/>
          <w:i/>
          <w:iCs/>
        </w:rPr>
        <w:t>p</w:t>
      </w:r>
      <w:r>
        <w:rPr>
          <w:rFonts w:hint="eastAsia"/>
        </w:rPr>
        <w:t xml:space="preserve">&lt;.001, </w:t>
      </w:r>
      <w:r w:rsidRPr="00483B55">
        <w:rPr>
          <w:rFonts w:hint="eastAsia"/>
          <w:i/>
          <w:iCs/>
        </w:rPr>
        <w:t>h</w:t>
      </w:r>
      <w:r>
        <w:rPr>
          <w:rFonts w:hint="eastAsia"/>
        </w:rPr>
        <w:t xml:space="preserve"> = 0.93</w:t>
      </w:r>
      <w:r>
        <w:t xml:space="preserve">; Control: 86.8%, </w:t>
      </w:r>
      <w:r w:rsidRPr="00CC6F71">
        <w:rPr>
          <w:rFonts w:hint="eastAsia"/>
          <w:i/>
          <w:iCs/>
        </w:rPr>
        <w:t>p</w:t>
      </w:r>
      <w:r>
        <w:rPr>
          <w:rFonts w:hint="eastAsia"/>
        </w:rPr>
        <w:t xml:space="preserve">&lt;.001, </w:t>
      </w:r>
      <w:r w:rsidRPr="00483B55">
        <w:rPr>
          <w:rFonts w:hint="eastAsia"/>
          <w:i/>
          <w:iCs/>
        </w:rPr>
        <w:t>h</w:t>
      </w:r>
      <w:r>
        <w:rPr>
          <w:rFonts w:hint="eastAsia"/>
        </w:rPr>
        <w:t xml:space="preserve"> = 0.83; </w:t>
      </w:r>
      <w:r>
        <w:t xml:space="preserve">Unequal Wealth: 60.7%, </w:t>
      </w:r>
      <w:r w:rsidRPr="00CC6F71">
        <w:rPr>
          <w:rFonts w:hint="eastAsia"/>
          <w:i/>
          <w:iCs/>
        </w:rPr>
        <w:t>p</w:t>
      </w:r>
      <w:r>
        <w:rPr>
          <w:rFonts w:hint="eastAsia"/>
        </w:rPr>
        <w:t xml:space="preserve"> = .002, </w:t>
      </w:r>
      <w:r w:rsidRPr="00483B55">
        <w:rPr>
          <w:rFonts w:hint="eastAsia"/>
          <w:i/>
          <w:iCs/>
        </w:rPr>
        <w:t>h</w:t>
      </w:r>
      <w:r>
        <w:rPr>
          <w:rFonts w:hint="eastAsia"/>
        </w:rPr>
        <w:t xml:space="preserve"> = 0.22).</w:t>
      </w:r>
    </w:p>
    <w:bookmarkEnd w:id="7"/>
    <w:p w14:paraId="59D28A0E" w14:textId="7FDB6DF8" w:rsidR="00721CEC" w:rsidRDefault="00721CEC" w:rsidP="00721CEC">
      <w:pPr>
        <w:snapToGrid w:val="0"/>
        <w:spacing w:line="480" w:lineRule="auto"/>
        <w:ind w:firstLine="840"/>
        <w:jc w:val="left"/>
      </w:pPr>
      <w:r w:rsidRPr="0009611E">
        <w:t>We also conducted a logistic regression: participants’ perceptions of the variance in generosity predicted their preference for the generosity information (</w:t>
      </w:r>
      <w:r w:rsidRPr="00F312A2">
        <w:rPr>
          <w:i/>
          <w:iCs/>
        </w:rPr>
        <w:t>B</w:t>
      </w:r>
      <w:r w:rsidRPr="0009611E">
        <w:t xml:space="preserve"> = 0.</w:t>
      </w:r>
      <w:r w:rsidR="00EE64BE">
        <w:rPr>
          <w:rFonts w:hint="eastAsia"/>
        </w:rPr>
        <w:t>40</w:t>
      </w:r>
      <w:r w:rsidRPr="0009611E">
        <w:t xml:space="preserve">, </w:t>
      </w:r>
      <w:r w:rsidR="000C6C10">
        <w:rPr>
          <w:rFonts w:hint="eastAsia"/>
        </w:rPr>
        <w:t>odds ratio = 1.</w:t>
      </w:r>
      <w:r w:rsidR="00460366">
        <w:rPr>
          <w:rFonts w:hint="eastAsia"/>
        </w:rPr>
        <w:t>49</w:t>
      </w:r>
      <w:r w:rsidR="000C6C10">
        <w:rPr>
          <w:rFonts w:hint="eastAsia"/>
        </w:rPr>
        <w:t>,</w:t>
      </w:r>
      <w:r w:rsidR="000C6C10" w:rsidRPr="0009611E">
        <w:t xml:space="preserve"> </w:t>
      </w:r>
      <w:r w:rsidRPr="00F312A2">
        <w:rPr>
          <w:i/>
          <w:iCs/>
        </w:rPr>
        <w:t>p</w:t>
      </w:r>
      <w:r w:rsidRPr="0009611E">
        <w:t>&lt;.001), whereas their perceptions of the variance in wealth predicted their preference for the wealth information (</w:t>
      </w:r>
      <w:r w:rsidRPr="00F312A2">
        <w:rPr>
          <w:i/>
          <w:iCs/>
        </w:rPr>
        <w:t>B</w:t>
      </w:r>
      <w:r w:rsidRPr="0009611E">
        <w:t xml:space="preserve"> = -0.</w:t>
      </w:r>
      <w:r w:rsidR="00EE64BE">
        <w:rPr>
          <w:rFonts w:hint="eastAsia"/>
        </w:rPr>
        <w:t>36</w:t>
      </w:r>
      <w:r w:rsidRPr="0009611E">
        <w:t xml:space="preserve">, </w:t>
      </w:r>
      <w:r w:rsidR="000C6C10">
        <w:rPr>
          <w:rFonts w:hint="eastAsia"/>
        </w:rPr>
        <w:t>odds ratio = 0.7</w:t>
      </w:r>
      <w:r w:rsidR="00460366">
        <w:rPr>
          <w:rFonts w:hint="eastAsia"/>
        </w:rPr>
        <w:t>0</w:t>
      </w:r>
      <w:r w:rsidR="000C6C10">
        <w:rPr>
          <w:rFonts w:hint="eastAsia"/>
        </w:rPr>
        <w:t>,</w:t>
      </w:r>
      <w:r w:rsidR="000C6C10" w:rsidRPr="0009611E">
        <w:t xml:space="preserve"> </w:t>
      </w:r>
      <w:r w:rsidRPr="00F312A2">
        <w:rPr>
          <w:i/>
          <w:iCs/>
        </w:rPr>
        <w:t>p</w:t>
      </w:r>
      <w:r w:rsidRPr="0009611E">
        <w:t>&lt;.001).</w:t>
      </w:r>
    </w:p>
    <w:p w14:paraId="0B14C704" w14:textId="77777777" w:rsidR="00D96C55" w:rsidRPr="00EE64BE" w:rsidRDefault="00D96C55" w:rsidP="00596D8A">
      <w:pPr>
        <w:snapToGrid w:val="0"/>
        <w:spacing w:line="480" w:lineRule="auto"/>
        <w:ind w:firstLine="840"/>
        <w:jc w:val="left"/>
      </w:pPr>
    </w:p>
    <w:p w14:paraId="33C1ABD5" w14:textId="2EBAF7A2" w:rsidR="00D96C55" w:rsidRPr="00AD224D" w:rsidRDefault="00D96C55" w:rsidP="00D96C55">
      <w:pPr>
        <w:snapToGrid w:val="0"/>
        <w:spacing w:line="480" w:lineRule="auto"/>
        <w:jc w:val="center"/>
        <w:rPr>
          <w:b/>
        </w:rPr>
      </w:pPr>
      <w:r>
        <w:rPr>
          <w:rFonts w:hint="eastAsia"/>
          <w:b/>
        </w:rPr>
        <w:t>4</w:t>
      </w:r>
      <w:r w:rsidRPr="00877111">
        <w:rPr>
          <w:rFonts w:eastAsia="Times New Roman"/>
          <w:b/>
        </w:rPr>
        <w:t xml:space="preserve">. </w:t>
      </w:r>
      <w:r>
        <w:rPr>
          <w:rFonts w:hint="eastAsia"/>
          <w:b/>
        </w:rPr>
        <w:t>General Disc</w:t>
      </w:r>
      <w:r w:rsidR="008547E7">
        <w:rPr>
          <w:rFonts w:hint="eastAsia"/>
          <w:b/>
        </w:rPr>
        <w:t>u</w:t>
      </w:r>
      <w:r>
        <w:rPr>
          <w:rFonts w:hint="eastAsia"/>
          <w:b/>
        </w:rPr>
        <w:t>ssion</w:t>
      </w:r>
    </w:p>
    <w:p w14:paraId="0E00697E" w14:textId="6BBB5D83" w:rsidR="00D96C55" w:rsidRDefault="00D96C55" w:rsidP="00D96C55">
      <w:pPr>
        <w:spacing w:line="480" w:lineRule="auto"/>
        <w:ind w:firstLine="567"/>
      </w:pPr>
      <w:r>
        <w:t>In two studies, participants sought information about the trait that varied more among partners</w:t>
      </w:r>
      <w:r w:rsidR="008C37DB">
        <w:rPr>
          <w:rFonts w:hint="eastAsia"/>
        </w:rPr>
        <w:t xml:space="preserve"> </w:t>
      </w:r>
      <w:r w:rsidR="008C37DB" w:rsidRPr="00243E37">
        <w:rPr>
          <w:rFonts w:hint="eastAsia"/>
          <w:shd w:val="pct15" w:color="auto" w:fill="FFFFFF"/>
        </w:rPr>
        <w:t>relative to a control condition</w:t>
      </w:r>
      <w:r w:rsidR="008C37DB">
        <w:rPr>
          <w:rFonts w:hint="eastAsia"/>
        </w:rPr>
        <w:t>:</w:t>
      </w:r>
      <w:r>
        <w:t xml:space="preserve"> generosity information when generosity was more variable, and wealth information when wealth was more variable</w:t>
      </w:r>
      <w:r w:rsidR="008C37DB" w:rsidRPr="00243E37">
        <w:rPr>
          <w:rFonts w:hint="eastAsia"/>
          <w:shd w:val="pct15" w:color="auto" w:fill="FFFFFF"/>
        </w:rPr>
        <w:t xml:space="preserve"> </w:t>
      </w:r>
      <w:r w:rsidR="008C37DB" w:rsidRPr="00243E37">
        <w:rPr>
          <w:shd w:val="pct15" w:color="auto" w:fill="FFFFFF"/>
        </w:rPr>
        <w:t>–</w:t>
      </w:r>
      <w:r w:rsidR="008C37DB" w:rsidRPr="00243E37">
        <w:rPr>
          <w:rFonts w:hint="eastAsia"/>
          <w:shd w:val="pct15" w:color="auto" w:fill="FFFFFF"/>
        </w:rPr>
        <w:t xml:space="preserve"> although generosity remained the overall preferred trait</w:t>
      </w:r>
      <w:r>
        <w:t xml:space="preserve">. Participants had a default preference for information on others’ generosity, as shown </w:t>
      </w:r>
      <w:r>
        <w:lastRenderedPageBreak/>
        <w:t xml:space="preserve">by both the Control condition (Study 2) and the participants who failed the manipulation check (Studies 1 &amp; 2). However, as predicted, this default preference was strengthened when partners varied greatly in generosity, and was weakened when partners varied more in wealth. This supports the hypothesis that people will attend more to traits that vary amongst potential partners, because more variable traits will have bigger differences between those “high” and “low” on that trait, and thus more impact </w:t>
      </w:r>
      <w:r w:rsidR="00ED0B94" w:rsidRPr="00243E37">
        <w:rPr>
          <w:rFonts w:hint="eastAsia"/>
          <w:shd w:val="pct15" w:color="auto" w:fill="FFFFFF"/>
        </w:rPr>
        <w:t>on benefits received</w:t>
      </w:r>
      <w:r>
        <w:t xml:space="preserve"> (all else equal). </w:t>
      </w:r>
    </w:p>
    <w:p w14:paraId="518BBFBE" w14:textId="0CF0368D" w:rsidR="00D96C55" w:rsidRDefault="00D96C55" w:rsidP="00D96C55">
      <w:pPr>
        <w:spacing w:line="480" w:lineRule="auto"/>
        <w:ind w:firstLine="567"/>
      </w:pPr>
      <w:r>
        <w:t xml:space="preserve">Why would </w:t>
      </w:r>
      <w:r w:rsidR="007C280E" w:rsidRPr="00243E37">
        <w:rPr>
          <w:rFonts w:hint="eastAsia"/>
          <w:shd w:val="pct15" w:color="auto" w:fill="FFFFFF"/>
        </w:rPr>
        <w:t>our participants</w:t>
      </w:r>
      <w:r w:rsidR="007C280E">
        <w:t xml:space="preserve"> </w:t>
      </w:r>
      <w:r>
        <w:t>have a default preference for generosity information? Eisenbruch and Krasnow (2022) suggest that warmth varies more than competence, particularly in ancestral environments, because kin and friends value your welfare whereas enemies and competitors value your demise (see also fitness interdependence: Aktipis et al., 2018; stake: Barclay, 2020). However, another non-mutually exclusive explanation is that there is signaling value in preferring warmth over competence – in a mathematical model and nine experiments, Dhaliwal and colleagues (</w:t>
      </w:r>
      <w:r w:rsidRPr="00243E37">
        <w:rPr>
          <w:shd w:val="pct15" w:color="auto" w:fill="FFFFFF"/>
        </w:rPr>
        <w:t>202</w:t>
      </w:r>
      <w:r w:rsidR="00950387" w:rsidRPr="00243E37">
        <w:rPr>
          <w:rFonts w:hint="eastAsia"/>
          <w:shd w:val="pct15" w:color="auto" w:fill="FFFFFF"/>
        </w:rPr>
        <w:t>2</w:t>
      </w:r>
      <w:r>
        <w:t>) show that people prefer others who prioritize generous partners over able partners, because partners who prioritize generosity tend to be more cooperative, moral, and future-oriented. Either way, our results show that this default preference can be strengthened or weakened according to the population variation in different traits</w:t>
      </w:r>
      <w:r w:rsidR="007C280E" w:rsidRPr="00243E37">
        <w:rPr>
          <w:rFonts w:hint="eastAsia"/>
          <w:shd w:val="pct15" w:color="auto" w:fill="FFFFFF"/>
        </w:rPr>
        <w:t xml:space="preserve"> </w:t>
      </w:r>
      <w:r w:rsidR="007C280E" w:rsidRPr="00243E37">
        <w:rPr>
          <w:rFonts w:hint="eastAsia"/>
          <w:shd w:val="pct15" w:color="auto" w:fill="FFFFFF"/>
        </w:rPr>
        <w:t>–</w:t>
      </w:r>
      <w:r w:rsidR="007C280E" w:rsidRPr="00243E37">
        <w:rPr>
          <w:shd w:val="pct15" w:color="auto" w:fill="FFFFFF"/>
        </w:rPr>
        <w:t xml:space="preserve"> </w:t>
      </w:r>
      <w:bookmarkStart w:id="8" w:name="_Hlk200534137"/>
      <w:r w:rsidR="007C280E" w:rsidRPr="00243E37">
        <w:rPr>
          <w:shd w:val="pct15" w:color="auto" w:fill="FFFFFF"/>
        </w:rPr>
        <w:t>and the default could even be reversed in populations with much more variation in wealth or ability (see below)</w:t>
      </w:r>
      <w:bookmarkEnd w:id="8"/>
      <w:r w:rsidRPr="00243E37">
        <w:rPr>
          <w:shd w:val="pct15" w:color="auto" w:fill="FFFFFF"/>
        </w:rPr>
        <w:t>.</w:t>
      </w:r>
      <w:r w:rsidR="005617D9" w:rsidRPr="00243E37">
        <w:rPr>
          <w:rFonts w:hint="eastAsia"/>
          <w:shd w:val="pct15" w:color="auto" w:fill="FFFFFF"/>
        </w:rPr>
        <w:t xml:space="preserve"> </w:t>
      </w:r>
    </w:p>
    <w:p w14:paraId="51F88FD9" w14:textId="6F907C1E" w:rsidR="00D96C55" w:rsidRDefault="00D96C55" w:rsidP="00145F30">
      <w:pPr>
        <w:spacing w:line="480" w:lineRule="auto"/>
        <w:ind w:firstLine="567"/>
      </w:pPr>
      <w:r>
        <w:t xml:space="preserve">Our results lead to novel predictions about what traits people will prefer in partners. </w:t>
      </w:r>
      <w:bookmarkStart w:id="9" w:name="_Hlk199965519"/>
      <w:r>
        <w:t xml:space="preserve">We should predict stronger preferences for wealth in places where wealth is highly unequal (e.g., high GINI index), stronger preferences for ability or competence in domains where ability is highly variable (e.g., sports, hunting), and stronger preferences for warmth or generosity when </w:t>
      </w:r>
      <w:r w:rsidR="001432AB" w:rsidRPr="00243E37">
        <w:rPr>
          <w:rFonts w:hint="eastAsia"/>
          <w:shd w:val="pct15" w:color="auto" w:fill="FFFFFF"/>
        </w:rPr>
        <w:t>potential partners var</w:t>
      </w:r>
      <w:r w:rsidR="007714AC" w:rsidRPr="00243E37">
        <w:rPr>
          <w:shd w:val="pct15" w:color="auto" w:fill="FFFFFF"/>
        </w:rPr>
        <w:t>y</w:t>
      </w:r>
      <w:r w:rsidR="007448F5" w:rsidRPr="00243E37">
        <w:rPr>
          <w:shd w:val="pct15" w:color="auto" w:fill="FFFFFF"/>
        </w:rPr>
        <w:t xml:space="preserve"> more in cooperativeness towards us, </w:t>
      </w:r>
      <w:r w:rsidR="001432AB" w:rsidRPr="005D0658">
        <w:rPr>
          <w:rFonts w:hint="eastAsia"/>
          <w:shd w:val="pct15" w:color="auto" w:fill="FFFFFF"/>
        </w:rPr>
        <w:t xml:space="preserve">for example during coalitional conflict where </w:t>
      </w:r>
      <w:r w:rsidRPr="005D0658">
        <w:rPr>
          <w:shd w:val="pct15" w:color="auto" w:fill="FFFFFF"/>
        </w:rPr>
        <w:t xml:space="preserve">people </w:t>
      </w:r>
      <w:r w:rsidR="001432AB" w:rsidRPr="005D0658">
        <w:rPr>
          <w:rFonts w:hint="eastAsia"/>
          <w:shd w:val="pct15" w:color="auto" w:fill="FFFFFF"/>
        </w:rPr>
        <w:t>can</w:t>
      </w:r>
      <w:r w:rsidR="001432AB" w:rsidRPr="005D0658">
        <w:rPr>
          <w:shd w:val="pct15" w:color="auto" w:fill="FFFFFF"/>
        </w:rPr>
        <w:t xml:space="preserve"> </w:t>
      </w:r>
      <w:r w:rsidRPr="005D0658">
        <w:rPr>
          <w:shd w:val="pct15" w:color="auto" w:fill="FFFFFF"/>
        </w:rPr>
        <w:t>either help or harm us</w:t>
      </w:r>
      <w:r>
        <w:t xml:space="preserve">. </w:t>
      </w:r>
      <w:bookmarkEnd w:id="9"/>
      <w:r>
        <w:t xml:space="preserve">Conversely, we should predict lower preferences for generous </w:t>
      </w:r>
      <w:r>
        <w:lastRenderedPageBreak/>
        <w:t xml:space="preserve">partners in environments where (almost) everyone cooperates, such as food sharing in some hunter-gatherer societies. (e.g., Smith &amp; Apicella, 2020). Partner preferences should change as people experience more homogeneity or heterogeneity on </w:t>
      </w:r>
      <w:r w:rsidR="005B7757" w:rsidRPr="005B7757">
        <w:rPr>
          <w:rFonts w:hint="eastAsia"/>
          <w:shd w:val="pct15" w:color="auto" w:fill="FFFFFF"/>
        </w:rPr>
        <w:t>a</w:t>
      </w:r>
      <w:r w:rsidR="005B7757">
        <w:rPr>
          <w:rFonts w:hint="eastAsia"/>
        </w:rPr>
        <w:t xml:space="preserve"> </w:t>
      </w:r>
      <w:r>
        <w:t xml:space="preserve">trait, such as Hadza hunter-gatherers starting to value generous partners more after having more exposure with outgroups who lack norms of group-wide sharing (Smith &amp; Apicella, 2020). </w:t>
      </w:r>
      <w:r w:rsidR="00461D94">
        <w:t xml:space="preserve">These preferences should hold for all long-term relationships: spouses, friends, allies, business partners, and so on. </w:t>
      </w:r>
      <w:r>
        <w:t xml:space="preserve">People do not automatically know the population variation in a trait: they must infer it from </w:t>
      </w:r>
      <w:r w:rsidR="00461D94">
        <w:t>people</w:t>
      </w:r>
      <w:r>
        <w:t xml:space="preserve"> they have previously encountered, and from environmental cues of future variation (e.g., visual cues of physical variability, cues of imminent conflict causing variation in warmth). </w:t>
      </w:r>
      <w:bookmarkStart w:id="10" w:name="_Hlk200534170"/>
      <w:bookmarkStart w:id="11" w:name="_Hlk200534382"/>
      <w:r w:rsidR="00145F30" w:rsidRPr="00243E37">
        <w:rPr>
          <w:shd w:val="pct15" w:color="auto" w:fill="FFFFFF"/>
        </w:rPr>
        <w:t>We would not expect a single exposure to override a default that is evolved or learned through a lifetime of experience, but a lifetime of experience may well produce a different default.</w:t>
      </w:r>
      <w:bookmarkEnd w:id="10"/>
      <w:r w:rsidR="007714AC">
        <w:t xml:space="preserve"> </w:t>
      </w:r>
      <w:bookmarkEnd w:id="11"/>
      <w:r>
        <w:t xml:space="preserve">Future research should test how people weigh these sources of information – defaults, experience, and cues of future variation – how flexibly they do so, and on what timescales. </w:t>
      </w:r>
    </w:p>
    <w:p w14:paraId="48256491" w14:textId="77FD62F3" w:rsidR="00D96C55" w:rsidRDefault="00D96C55" w:rsidP="008C0F9F">
      <w:pPr>
        <w:spacing w:line="480" w:lineRule="auto"/>
        <w:ind w:firstLine="567"/>
      </w:pPr>
      <w:r>
        <w:t>Our results do have some limitations. First, the questions were hypothetical – participants did not actually choose partners to distribute money. However, this still gives us insight into what information people want. Indeed, this method is just as valid as mate-preference studies that ask hypothetical questions about what traits people want in romantic partners.</w:t>
      </w:r>
      <w:r w:rsidR="008C0F9F">
        <w:t xml:space="preserve"> Second, the results were conducted in one culture, and the default preference for generosity may not generalize to other cultures. But this is not a limitation, and is in fact explicitly predicted by our results: people will focus less on others’ generosity in cultures where there is less variance in generosity (see also Eisenbruch &amp; Krasnow, 2022). </w:t>
      </w:r>
    </w:p>
    <w:p w14:paraId="12E8B4A2" w14:textId="48F4C84D" w:rsidR="0026074E" w:rsidRDefault="00D96C55" w:rsidP="0026074E">
      <w:pPr>
        <w:spacing w:line="480" w:lineRule="auto"/>
        <w:ind w:firstLine="567"/>
      </w:pPr>
      <w:r>
        <w:t>Overall, our results suggest that</w:t>
      </w:r>
      <w:r w:rsidR="006B53A2">
        <w:rPr>
          <w:rFonts w:hint="eastAsia"/>
        </w:rPr>
        <w:t>,</w:t>
      </w:r>
      <w:r>
        <w:t xml:space="preserve"> </w:t>
      </w:r>
      <w:r w:rsidR="006B53A2" w:rsidRPr="00243E37">
        <w:rPr>
          <w:rFonts w:hint="eastAsia"/>
          <w:shd w:val="pct15" w:color="auto" w:fill="FFFFFF"/>
        </w:rPr>
        <w:t xml:space="preserve">although information about generosity </w:t>
      </w:r>
      <w:r w:rsidR="007714AC" w:rsidRPr="00243E37">
        <w:rPr>
          <w:shd w:val="pct15" w:color="auto" w:fill="FFFFFF"/>
        </w:rPr>
        <w:t>wa</w:t>
      </w:r>
      <w:r w:rsidR="006B53A2" w:rsidRPr="00243E37">
        <w:rPr>
          <w:rFonts w:hint="eastAsia"/>
          <w:shd w:val="pct15" w:color="auto" w:fill="FFFFFF"/>
        </w:rPr>
        <w:t xml:space="preserve">s generally the most sought after, participants shifted their attention toward whichever trait displayed greater </w:t>
      </w:r>
      <w:r w:rsidR="006B53A2" w:rsidRPr="00243E37">
        <w:rPr>
          <w:rFonts w:hint="eastAsia"/>
          <w:shd w:val="pct15" w:color="auto" w:fill="FFFFFF"/>
        </w:rPr>
        <w:lastRenderedPageBreak/>
        <w:t>variability among potential partners</w:t>
      </w:r>
      <w:r>
        <w:t>. In other words, partner preferences are flexible, and are affected by how variable a trait is in a local population. We look forward to future work on how people trade off different partner traits depending on those traits’ variability, stability, and net impact on fitness.</w:t>
      </w:r>
    </w:p>
    <w:p w14:paraId="4FC688C1" w14:textId="77777777" w:rsidR="007169E6" w:rsidRDefault="007169E6" w:rsidP="0026074E">
      <w:pPr>
        <w:spacing w:line="480" w:lineRule="auto"/>
        <w:ind w:firstLine="567"/>
      </w:pPr>
    </w:p>
    <w:p w14:paraId="200A5FE6" w14:textId="77777777" w:rsidR="007169E6" w:rsidRPr="007169E6" w:rsidRDefault="007169E6" w:rsidP="007169E6">
      <w:pPr>
        <w:spacing w:line="480" w:lineRule="auto"/>
        <w:jc w:val="center"/>
        <w:rPr>
          <w:b/>
          <w:bCs/>
          <w:lang w:val="en-US"/>
        </w:rPr>
      </w:pPr>
      <w:r w:rsidRPr="007169E6">
        <w:rPr>
          <w:b/>
          <w:bCs/>
          <w:lang w:val="en-US"/>
        </w:rPr>
        <w:t>Data Availability</w:t>
      </w:r>
    </w:p>
    <w:p w14:paraId="38197CB9" w14:textId="695C5895" w:rsidR="007169E6" w:rsidRPr="007169E6" w:rsidRDefault="007169E6" w:rsidP="0026074E">
      <w:pPr>
        <w:spacing w:line="480" w:lineRule="auto"/>
        <w:ind w:firstLine="567"/>
      </w:pPr>
      <w:r w:rsidRPr="007169E6">
        <w:t xml:space="preserve">The data associated with this research are available at </w:t>
      </w:r>
      <w:hyperlink r:id="rId12" w:history="1">
        <w:r w:rsidR="00F95CFA" w:rsidRPr="00470942">
          <w:rPr>
            <w:rStyle w:val="Hyperlink"/>
            <w:rFonts w:eastAsia="Times New Roman"/>
          </w:rPr>
          <w:t>https://osf.io/274ej/?view_only=85fa9b198df148e68fca3cc18d6a3ddb</w:t>
        </w:r>
      </w:hyperlink>
      <w:r w:rsidRPr="007169E6">
        <w:t>.</w:t>
      </w:r>
    </w:p>
    <w:p w14:paraId="6B4773E6" w14:textId="6E1A688B" w:rsidR="0026074E" w:rsidRDefault="0026074E">
      <w:pPr>
        <w:widowControl/>
        <w:jc w:val="left"/>
      </w:pPr>
      <w:r>
        <w:br w:type="page"/>
      </w:r>
    </w:p>
    <w:p w14:paraId="1E1A72CD" w14:textId="77777777" w:rsidR="0026074E" w:rsidRPr="0026074E" w:rsidRDefault="004B711E" w:rsidP="0026074E">
      <w:pPr>
        <w:spacing w:line="480" w:lineRule="auto"/>
        <w:jc w:val="center"/>
        <w:rPr>
          <w:b/>
          <w:bCs/>
        </w:rPr>
      </w:pPr>
      <w:r w:rsidRPr="0026074E">
        <w:rPr>
          <w:b/>
          <w:bCs/>
        </w:rPr>
        <w:lastRenderedPageBreak/>
        <w:t>References</w:t>
      </w:r>
    </w:p>
    <w:p w14:paraId="15BB8857" w14:textId="77777777" w:rsidR="00B23F30" w:rsidRDefault="004B711E" w:rsidP="00B23F30">
      <w:pPr>
        <w:spacing w:line="480" w:lineRule="auto"/>
        <w:ind w:left="480" w:hangingChars="200" w:hanging="480"/>
      </w:pPr>
      <w:r>
        <w:t xml:space="preserve">Aktipis, A., Cronk, L., Alcock, J., Ayers, J.D., Baciu, C., Balliet, D., Boddy, A.M., Curry, O.S., Krems, J.A., Muñoz, A., Sullivan, D., Sznycer, D., Wilkinson, G.S., &amp; Winfrey, P. (2018). Understanding cooperation through fitness interdependence. </w:t>
      </w:r>
      <w:r>
        <w:rPr>
          <w:i/>
        </w:rPr>
        <w:t>Nature Human Behaviour</w:t>
      </w:r>
      <w:r>
        <w:t xml:space="preserve">, </w:t>
      </w:r>
      <w:r>
        <w:rPr>
          <w:i/>
        </w:rPr>
        <w:t>2</w:t>
      </w:r>
      <w:r>
        <w:t>, 429-431.</w:t>
      </w:r>
      <w:r w:rsidR="00AE7617">
        <w:rPr>
          <w:rFonts w:hint="eastAsia"/>
        </w:rPr>
        <w:t xml:space="preserve"> </w:t>
      </w:r>
      <w:hyperlink r:id="rId13" w:history="1">
        <w:r w:rsidR="00AE7617" w:rsidRPr="00365C81">
          <w:rPr>
            <w:rStyle w:val="Hyperlink"/>
          </w:rPr>
          <w:t>https://doi.org/10.1038/s41562-018-0378-4</w:t>
        </w:r>
      </w:hyperlink>
    </w:p>
    <w:p w14:paraId="59990102" w14:textId="77777777" w:rsidR="00B23F30" w:rsidRDefault="004B711E" w:rsidP="00B23F30">
      <w:pPr>
        <w:spacing w:line="480" w:lineRule="auto"/>
        <w:ind w:left="480" w:hangingChars="200" w:hanging="480"/>
      </w:pPr>
      <w:r>
        <w:t xml:space="preserve">Barclay, P. (2004). Trustworthiness and Competitive Altruism Can Also Solve the “Tragedy of the Commons”. </w:t>
      </w:r>
      <w:r>
        <w:rPr>
          <w:i/>
        </w:rPr>
        <w:t>Evolution &amp; Human Behavior</w:t>
      </w:r>
      <w:r>
        <w:t>,</w:t>
      </w:r>
      <w:r>
        <w:rPr>
          <w:i/>
        </w:rPr>
        <w:t xml:space="preserve"> 25(4)</w:t>
      </w:r>
      <w:r>
        <w:t xml:space="preserve">, 209-220. </w:t>
      </w:r>
      <w:hyperlink r:id="rId14" w:tgtFrame="_blank" w:tooltip="Persistent link using digital object identifier" w:history="1">
        <w:r w:rsidRPr="009768B3">
          <w:rPr>
            <w:rStyle w:val="Hyperlink"/>
          </w:rPr>
          <w:t>https://doi.org/10.1016/j.evolhumbehav.2004.04.002</w:t>
        </w:r>
      </w:hyperlink>
    </w:p>
    <w:p w14:paraId="7F30FA0D" w14:textId="77777777" w:rsidR="00B23F30" w:rsidRDefault="004B711E" w:rsidP="00B23F30">
      <w:pPr>
        <w:spacing w:line="480" w:lineRule="auto"/>
        <w:ind w:left="480" w:hangingChars="200" w:hanging="480"/>
      </w:pPr>
      <w:r>
        <w:t>Barclay, P. (2011).</w:t>
      </w:r>
      <w:r w:rsidRPr="009C492E">
        <w:t xml:space="preserve"> Competitive helping increases with the size of biological markets and invades defection</w:t>
      </w:r>
      <w:r>
        <w:t xml:space="preserve">. </w:t>
      </w:r>
      <w:r>
        <w:rPr>
          <w:i/>
        </w:rPr>
        <w:t>Journal of Theoretical Biology</w:t>
      </w:r>
      <w:r>
        <w:t xml:space="preserve">, </w:t>
      </w:r>
      <w:r>
        <w:rPr>
          <w:i/>
        </w:rPr>
        <w:t>281</w:t>
      </w:r>
      <w:r>
        <w:t xml:space="preserve">, 47-55. </w:t>
      </w:r>
      <w:hyperlink r:id="rId15" w:tgtFrame="_blank" w:tooltip="Persistent link using digital object identifier" w:history="1">
        <w:r w:rsidRPr="005646A3">
          <w:rPr>
            <w:rStyle w:val="Hyperlink"/>
          </w:rPr>
          <w:t>https://doi.org/10.1016/j.jtbi.2011.04.023</w:t>
        </w:r>
      </w:hyperlink>
    </w:p>
    <w:p w14:paraId="1E9E6227" w14:textId="77777777" w:rsidR="00B23F30" w:rsidRDefault="004B711E" w:rsidP="00B23F30">
      <w:pPr>
        <w:spacing w:line="480" w:lineRule="auto"/>
        <w:ind w:left="480" w:hangingChars="200" w:hanging="480"/>
      </w:pPr>
      <w:r>
        <w:t xml:space="preserve">Barclay, P. (2013). Strategies for cooperation in biological markets, especially for humans. </w:t>
      </w:r>
      <w:r>
        <w:rPr>
          <w:i/>
        </w:rPr>
        <w:t>Evolution &amp; Human Behavior</w:t>
      </w:r>
      <w:r>
        <w:t xml:space="preserve">, </w:t>
      </w:r>
      <w:r>
        <w:rPr>
          <w:i/>
        </w:rPr>
        <w:t>34(3)</w:t>
      </w:r>
      <w:r>
        <w:t xml:space="preserve">, 164-175. </w:t>
      </w:r>
      <w:hyperlink r:id="rId16" w:tgtFrame="_blank" w:tooltip="Persistent link using digital object identifier" w:history="1">
        <w:r w:rsidRPr="000624F2">
          <w:rPr>
            <w:rStyle w:val="Hyperlink"/>
          </w:rPr>
          <w:t>https://doi.org/10.1016/j.evolhumbehav.2013.02.002</w:t>
        </w:r>
      </w:hyperlink>
      <w:r>
        <w:t xml:space="preserve"> </w:t>
      </w:r>
    </w:p>
    <w:p w14:paraId="2B98B7A6" w14:textId="77777777" w:rsidR="00B23F30" w:rsidRDefault="004B711E" w:rsidP="00B23F30">
      <w:pPr>
        <w:spacing w:line="480" w:lineRule="auto"/>
        <w:ind w:left="480" w:hangingChars="200" w:hanging="480"/>
      </w:pPr>
      <w:r>
        <w:t xml:space="preserve">Barclay, P. (2015). Reputation. In D. Buss (Ed.) </w:t>
      </w:r>
      <w:r>
        <w:rPr>
          <w:i/>
        </w:rPr>
        <w:t>Handbook of Evolutionary Psychology (2</w:t>
      </w:r>
      <w:r w:rsidRPr="00AE0620">
        <w:rPr>
          <w:i/>
          <w:vertAlign w:val="superscript"/>
        </w:rPr>
        <w:t>nd</w:t>
      </w:r>
      <w:r>
        <w:rPr>
          <w:i/>
        </w:rPr>
        <w:t xml:space="preserve"> Ed.)</w:t>
      </w:r>
      <w:r>
        <w:t>, pp. 810-828. Hoboken, NJ: J. Wiley &amp; Sons.</w:t>
      </w:r>
    </w:p>
    <w:p w14:paraId="2052BB65" w14:textId="77777777" w:rsidR="00B23F30" w:rsidRDefault="004B711E" w:rsidP="00B23F30">
      <w:pPr>
        <w:spacing w:line="480" w:lineRule="auto"/>
        <w:ind w:left="480" w:hangingChars="200" w:hanging="480"/>
      </w:pPr>
      <w:r>
        <w:t xml:space="preserve">Barclay, P. (2016). </w:t>
      </w:r>
      <w:r w:rsidRPr="00042851">
        <w:t xml:space="preserve">Biological </w:t>
      </w:r>
      <w:r>
        <w:t>m</w:t>
      </w:r>
      <w:r w:rsidRPr="00042851">
        <w:t xml:space="preserve">arkets and the </w:t>
      </w:r>
      <w:r>
        <w:t>e</w:t>
      </w:r>
      <w:r w:rsidRPr="00042851">
        <w:t xml:space="preserve">ffects of </w:t>
      </w:r>
      <w:r>
        <w:t>p</w:t>
      </w:r>
      <w:r w:rsidRPr="00042851">
        <w:t xml:space="preserve">artner </w:t>
      </w:r>
      <w:r>
        <w:t>c</w:t>
      </w:r>
      <w:r w:rsidRPr="00042851">
        <w:t xml:space="preserve">hoice on </w:t>
      </w:r>
      <w:r>
        <w:t>c</w:t>
      </w:r>
      <w:r w:rsidRPr="00042851">
        <w:t xml:space="preserve">ooperation and </w:t>
      </w:r>
      <w:r>
        <w:t>f</w:t>
      </w:r>
      <w:r w:rsidRPr="00042851">
        <w:t>riendship</w:t>
      </w:r>
      <w:r>
        <w:t xml:space="preserve">. </w:t>
      </w:r>
      <w:r>
        <w:rPr>
          <w:i/>
        </w:rPr>
        <w:t>Current Opinion in Psychology</w:t>
      </w:r>
      <w:r>
        <w:t xml:space="preserve">, </w:t>
      </w:r>
      <w:r>
        <w:rPr>
          <w:i/>
        </w:rPr>
        <w:t>7</w:t>
      </w:r>
      <w:r>
        <w:t xml:space="preserve">, 33-38. </w:t>
      </w:r>
      <w:hyperlink r:id="rId17" w:tgtFrame="_blank" w:tooltip="Persistent link using digital object identifier" w:history="1">
        <w:r w:rsidRPr="00FC11D9">
          <w:rPr>
            <w:rStyle w:val="Hyperlink"/>
          </w:rPr>
          <w:t>https://doi.org/10.1016/j.copsyc.2015.07.012</w:t>
        </w:r>
      </w:hyperlink>
    </w:p>
    <w:p w14:paraId="0BA5327E" w14:textId="77777777" w:rsidR="00B23F30" w:rsidRDefault="004B711E" w:rsidP="00B23F30">
      <w:pPr>
        <w:spacing w:line="480" w:lineRule="auto"/>
        <w:ind w:left="480" w:hangingChars="200" w:hanging="480"/>
        <w:rPr>
          <w:rStyle w:val="epub-sectionitem"/>
        </w:rPr>
      </w:pPr>
      <w:r>
        <w:t xml:space="preserve">Barclay, P. (2020). </w:t>
      </w:r>
      <w:r w:rsidRPr="00BB3781">
        <w:t>Reciprocity creates a stake in one’s partner, or why you should cooperate even when anonymous</w:t>
      </w:r>
      <w:r>
        <w:t xml:space="preserve">. </w:t>
      </w:r>
      <w:r>
        <w:rPr>
          <w:i/>
        </w:rPr>
        <w:t>Proceedings of the Royal Society of London B</w:t>
      </w:r>
      <w:r>
        <w:rPr>
          <w:iCs/>
        </w:rPr>
        <w:t xml:space="preserve">, </w:t>
      </w:r>
      <w:r>
        <w:rPr>
          <w:i/>
        </w:rPr>
        <w:t>287</w:t>
      </w:r>
      <w:r>
        <w:rPr>
          <w:iCs/>
        </w:rPr>
        <w:t>, 20200819</w:t>
      </w:r>
      <w:r>
        <w:t>.</w:t>
      </w:r>
      <w:r w:rsidRPr="00081550">
        <w:t xml:space="preserve"> </w:t>
      </w:r>
      <w:hyperlink r:id="rId18" w:history="1">
        <w:r w:rsidRPr="00081550">
          <w:rPr>
            <w:rStyle w:val="Hyperlink"/>
          </w:rPr>
          <w:t>https://doi.org/10.1098/rspb.2020.0819</w:t>
        </w:r>
      </w:hyperlink>
    </w:p>
    <w:p w14:paraId="0604A778" w14:textId="77777777" w:rsidR="00B23F30" w:rsidRDefault="004B711E" w:rsidP="00B23F30">
      <w:pPr>
        <w:spacing w:line="480" w:lineRule="auto"/>
        <w:ind w:left="480" w:hangingChars="200" w:hanging="480"/>
      </w:pPr>
      <w:r>
        <w:t xml:space="preserve">Barclay, P., &amp; Barker, J.L. (2020). </w:t>
      </w:r>
      <w:r w:rsidRPr="00B87117">
        <w:t xml:space="preserve">Greener </w:t>
      </w:r>
      <w:r>
        <w:t>t</w:t>
      </w:r>
      <w:r w:rsidRPr="00B87117">
        <w:t xml:space="preserve">han </w:t>
      </w:r>
      <w:r>
        <w:t>t</w:t>
      </w:r>
      <w:r w:rsidRPr="00B87117">
        <w:t xml:space="preserve">hou: </w:t>
      </w:r>
      <w:r>
        <w:t>p</w:t>
      </w:r>
      <w:r w:rsidRPr="00B87117">
        <w:t xml:space="preserve">eople </w:t>
      </w:r>
      <w:r>
        <w:t>w</w:t>
      </w:r>
      <w:r w:rsidRPr="00B87117">
        <w:t xml:space="preserve">ho </w:t>
      </w:r>
      <w:r>
        <w:t>p</w:t>
      </w:r>
      <w:r w:rsidRPr="00B87117">
        <w:t xml:space="preserve">rotect the </w:t>
      </w:r>
      <w:r>
        <w:t>e</w:t>
      </w:r>
      <w:r w:rsidRPr="00B87117">
        <w:t xml:space="preserve">nvironment are </w:t>
      </w:r>
      <w:r>
        <w:lastRenderedPageBreak/>
        <w:t>m</w:t>
      </w:r>
      <w:r w:rsidRPr="00B87117">
        <w:t xml:space="preserve">ore </w:t>
      </w:r>
      <w:r>
        <w:t>c</w:t>
      </w:r>
      <w:r w:rsidRPr="00B87117">
        <w:t xml:space="preserve">ooperative, </w:t>
      </w:r>
      <w:r>
        <w:t>c</w:t>
      </w:r>
      <w:r w:rsidRPr="00B87117">
        <w:t xml:space="preserve">ompete to </w:t>
      </w:r>
      <w:r>
        <w:t>b</w:t>
      </w:r>
      <w:r w:rsidRPr="00B87117">
        <w:t xml:space="preserve">e </w:t>
      </w:r>
      <w:r>
        <w:t>e</w:t>
      </w:r>
      <w:r w:rsidRPr="00B87117">
        <w:t xml:space="preserve">nvironmental, and </w:t>
      </w:r>
      <w:r>
        <w:t>b</w:t>
      </w:r>
      <w:r w:rsidRPr="00B87117">
        <w:t xml:space="preserve">enefit from </w:t>
      </w:r>
      <w:r>
        <w:t>r</w:t>
      </w:r>
      <w:r w:rsidRPr="00B87117">
        <w:t>eputation</w:t>
      </w:r>
      <w:r>
        <w:t xml:space="preserve">. </w:t>
      </w:r>
      <w:r>
        <w:rPr>
          <w:i/>
          <w:iCs/>
        </w:rPr>
        <w:t>Journal of Environmental Psychology</w:t>
      </w:r>
      <w:r>
        <w:t xml:space="preserve">, </w:t>
      </w:r>
      <w:r>
        <w:rPr>
          <w:i/>
          <w:iCs/>
        </w:rPr>
        <w:t>72</w:t>
      </w:r>
      <w:r>
        <w:t xml:space="preserve">, 101441. </w:t>
      </w:r>
      <w:hyperlink r:id="rId19" w:tgtFrame="_blank" w:tooltip="Persistent link using digital object identifier" w:history="1">
        <w:r w:rsidRPr="00081550">
          <w:rPr>
            <w:rStyle w:val="Hyperlink"/>
          </w:rPr>
          <w:t>https://doi.org/10.1016/j.jenvp.2020.101441</w:t>
        </w:r>
      </w:hyperlink>
    </w:p>
    <w:p w14:paraId="32E85098" w14:textId="77777777" w:rsidR="00B23F30" w:rsidRDefault="004B711E" w:rsidP="00B23F30">
      <w:pPr>
        <w:spacing w:line="480" w:lineRule="auto"/>
        <w:ind w:left="480" w:hangingChars="200" w:hanging="480"/>
      </w:pPr>
      <w:r w:rsidRPr="00B6561D">
        <w:t>Barclay, P., &amp; Willer, R. (</w:t>
      </w:r>
      <w:r>
        <w:t>2007</w:t>
      </w:r>
      <w:r w:rsidRPr="00B6561D">
        <w:t xml:space="preserve">). </w:t>
      </w:r>
      <w:r>
        <w:t>Partner choice creates competitive altruism in humans</w:t>
      </w:r>
      <w:r w:rsidRPr="00B6561D">
        <w:t>.</w:t>
      </w:r>
      <w:r>
        <w:t xml:space="preserve"> </w:t>
      </w:r>
      <w:r>
        <w:rPr>
          <w:i/>
        </w:rPr>
        <w:t xml:space="preserve">Proceedings of the Royal Society of </w:t>
      </w:r>
      <w:smartTag w:uri="urn:schemas-microsoft-com:office:smarttags" w:element="place">
        <w:smartTag w:uri="urn:schemas-microsoft-com:office:smarttags" w:element="City">
          <w:r>
            <w:rPr>
              <w:i/>
            </w:rPr>
            <w:t>London</w:t>
          </w:r>
        </w:smartTag>
      </w:smartTag>
      <w:r>
        <w:rPr>
          <w:i/>
        </w:rPr>
        <w:t xml:space="preserve"> Series B</w:t>
      </w:r>
      <w:r>
        <w:t xml:space="preserve">, </w:t>
      </w:r>
      <w:r>
        <w:rPr>
          <w:i/>
        </w:rPr>
        <w:t>274</w:t>
      </w:r>
      <w:r>
        <w:t xml:space="preserve">, 749-753. </w:t>
      </w:r>
      <w:hyperlink r:id="rId20" w:history="1">
        <w:r w:rsidRPr="009768B3">
          <w:rPr>
            <w:rStyle w:val="Hyperlink"/>
          </w:rPr>
          <w:t>https://doi.org/10.1098/rspb.2006.0209</w:t>
        </w:r>
      </w:hyperlink>
      <w:r w:rsidRPr="009768B3">
        <w:rPr>
          <w:rStyle w:val="highwire-cite-metadata-doi"/>
        </w:rPr>
        <w:t xml:space="preserve"> </w:t>
      </w:r>
      <w:r>
        <w:rPr>
          <w:rStyle w:val="highwire-cite-metadata-doi"/>
        </w:rPr>
        <w:t xml:space="preserve"> </w:t>
      </w:r>
    </w:p>
    <w:p w14:paraId="0C43DC43" w14:textId="06408305" w:rsidR="00A40DCE" w:rsidRDefault="00950387" w:rsidP="00B23F30">
      <w:pPr>
        <w:spacing w:line="480" w:lineRule="auto"/>
        <w:ind w:left="480" w:hangingChars="200" w:hanging="480"/>
      </w:pPr>
      <w:r w:rsidRPr="00243E37">
        <w:rPr>
          <w:shd w:val="pct15" w:color="auto" w:fill="FFFFFF"/>
        </w:rPr>
        <w:t>Dhaliwal, N. A., Martin, J. W., Barclay, P., &amp; Young, L. L. (2022). Signaling benefits of partner choice decisions. </w:t>
      </w:r>
      <w:r w:rsidRPr="00243E37">
        <w:rPr>
          <w:i/>
          <w:iCs/>
          <w:shd w:val="pct15" w:color="auto" w:fill="FFFFFF"/>
        </w:rPr>
        <w:t>Journal of Experimental Psychology: General</w:t>
      </w:r>
      <w:r w:rsidRPr="00243E37">
        <w:rPr>
          <w:shd w:val="pct15" w:color="auto" w:fill="FFFFFF"/>
        </w:rPr>
        <w:t>, </w:t>
      </w:r>
      <w:r w:rsidRPr="00243E37">
        <w:rPr>
          <w:i/>
          <w:iCs/>
          <w:shd w:val="pct15" w:color="auto" w:fill="FFFFFF"/>
        </w:rPr>
        <w:t>151</w:t>
      </w:r>
      <w:r w:rsidRPr="00243E37">
        <w:rPr>
          <w:shd w:val="pct15" w:color="auto" w:fill="FFFFFF"/>
        </w:rPr>
        <w:t>(6), 1446</w:t>
      </w:r>
      <w:r w:rsidRPr="00243E37">
        <w:rPr>
          <w:rFonts w:hint="eastAsia"/>
          <w:shd w:val="pct15" w:color="auto" w:fill="FFFFFF"/>
        </w:rPr>
        <w:t>-1472</w:t>
      </w:r>
      <w:r w:rsidR="00A40DCE">
        <w:rPr>
          <w:rFonts w:hint="eastAsia"/>
          <w:shd w:val="pct15" w:color="auto" w:fill="FFFFFF"/>
        </w:rPr>
        <w:t xml:space="preserve">. </w:t>
      </w:r>
      <w:hyperlink r:id="rId21" w:history="1">
        <w:r w:rsidR="00A40DCE" w:rsidRPr="00874B71">
          <w:rPr>
            <w:rStyle w:val="Hyperlink"/>
            <w:shd w:val="pct15" w:color="auto" w:fill="FFFFFF"/>
          </w:rPr>
          <w:t>https://doi.org/10.1037/xge0001137</w:t>
        </w:r>
      </w:hyperlink>
    </w:p>
    <w:p w14:paraId="7000A686" w14:textId="39D9BE70" w:rsidR="00B23F30" w:rsidRDefault="004B711E" w:rsidP="00B23F30">
      <w:pPr>
        <w:spacing w:line="480" w:lineRule="auto"/>
        <w:ind w:left="480" w:hangingChars="200" w:hanging="480"/>
      </w:pPr>
      <w:r>
        <w:t xml:space="preserve">Eisenbruch, A., &amp; Krasnow, M. (2022). Why warmth matters more than competence: a new evolutionary approach. </w:t>
      </w:r>
      <w:r>
        <w:rPr>
          <w:i/>
          <w:iCs/>
        </w:rPr>
        <w:t>Perspectives on Psychological Science</w:t>
      </w:r>
      <w:r>
        <w:t xml:space="preserve">, </w:t>
      </w:r>
      <w:r>
        <w:rPr>
          <w:i/>
          <w:iCs/>
        </w:rPr>
        <w:t>17(6)</w:t>
      </w:r>
      <w:r>
        <w:t>, 1604-1623.</w:t>
      </w:r>
      <w:r w:rsidR="00BE14BE">
        <w:rPr>
          <w:rFonts w:hint="eastAsia"/>
        </w:rPr>
        <w:t xml:space="preserve"> </w:t>
      </w:r>
      <w:hyperlink r:id="rId22" w:history="1">
        <w:r w:rsidR="00BE14BE" w:rsidRPr="00365C81">
          <w:rPr>
            <w:rStyle w:val="Hyperlink"/>
          </w:rPr>
          <w:t>https://doi.org/10.1177/17456916211071087</w:t>
        </w:r>
      </w:hyperlink>
    </w:p>
    <w:p w14:paraId="465F5467" w14:textId="77777777" w:rsidR="00B23F30" w:rsidRDefault="0081707E" w:rsidP="00B23F30">
      <w:pPr>
        <w:spacing w:line="480" w:lineRule="auto"/>
        <w:ind w:left="480" w:hangingChars="200" w:hanging="480"/>
      </w:pPr>
      <w:r w:rsidRPr="0081707E">
        <w:t>Faul, F., Erdfelder, E., Lang, A. G., &amp; Buchner, A. (2007). G* Power 3: A flexible statistical power analysis program for the social, behavioral, and biomedical sciences. </w:t>
      </w:r>
      <w:r w:rsidRPr="0081707E">
        <w:rPr>
          <w:i/>
          <w:iCs/>
        </w:rPr>
        <w:t>Behavior research methods</w:t>
      </w:r>
      <w:r w:rsidRPr="0081707E">
        <w:t>, </w:t>
      </w:r>
      <w:r w:rsidRPr="0081707E">
        <w:rPr>
          <w:i/>
          <w:iCs/>
        </w:rPr>
        <w:t>39</w:t>
      </w:r>
      <w:r w:rsidRPr="0081707E">
        <w:t>(2), 175-191.</w:t>
      </w:r>
      <w:r w:rsidR="00CA169E">
        <w:rPr>
          <w:rFonts w:hint="eastAsia"/>
        </w:rPr>
        <w:t xml:space="preserve"> </w:t>
      </w:r>
      <w:hyperlink r:id="rId23" w:history="1">
        <w:r w:rsidR="00CA169E" w:rsidRPr="00365C81">
          <w:rPr>
            <w:rStyle w:val="Hyperlink"/>
          </w:rPr>
          <w:t>https://doi.org/10.3758/BF03193146</w:t>
        </w:r>
      </w:hyperlink>
    </w:p>
    <w:p w14:paraId="597BE8BA" w14:textId="77777777" w:rsidR="00B23F30" w:rsidRDefault="004B711E" w:rsidP="00B23F30">
      <w:pPr>
        <w:spacing w:line="480" w:lineRule="auto"/>
        <w:ind w:left="480" w:hangingChars="200" w:hanging="480"/>
      </w:pPr>
      <w:r>
        <w:t xml:space="preserve">Ferriere, R., Bronstein, J.L., Rinaldi, S., Law, R., &amp; Gauduchon, M. (2002). Cheating and the evolutionary stability of mutualisms. </w:t>
      </w:r>
      <w:r>
        <w:rPr>
          <w:i/>
          <w:iCs/>
        </w:rPr>
        <w:t>Proceedings of the Royal Society of London B</w:t>
      </w:r>
      <w:r>
        <w:t xml:space="preserve">, </w:t>
      </w:r>
      <w:r>
        <w:rPr>
          <w:i/>
          <w:iCs/>
        </w:rPr>
        <w:t>269</w:t>
      </w:r>
      <w:r>
        <w:t>, 773-780.</w:t>
      </w:r>
      <w:r w:rsidR="00CA169E">
        <w:rPr>
          <w:rFonts w:hint="eastAsia"/>
        </w:rPr>
        <w:t xml:space="preserve"> </w:t>
      </w:r>
      <w:hyperlink r:id="rId24" w:history="1">
        <w:r w:rsidR="00CA169E" w:rsidRPr="00365C81">
          <w:rPr>
            <w:rStyle w:val="Hyperlink"/>
          </w:rPr>
          <w:t>https://doi.org/10.1098/rspb.2001.1900</w:t>
        </w:r>
      </w:hyperlink>
    </w:p>
    <w:p w14:paraId="064EAB1F" w14:textId="77777777" w:rsidR="00B23F30" w:rsidRDefault="004B711E" w:rsidP="00B23F30">
      <w:pPr>
        <w:spacing w:line="480" w:lineRule="auto"/>
        <w:ind w:left="480" w:hangingChars="200" w:hanging="480"/>
      </w:pPr>
      <w:r w:rsidRPr="0057203D">
        <w:t xml:space="preserve">Fiske, S. T., Cuddy, A. J. C., &amp; Glick, P. (2007). Universal dimensions of social cognition: warmth and competence. </w:t>
      </w:r>
      <w:r w:rsidRPr="0057203D">
        <w:rPr>
          <w:i/>
        </w:rPr>
        <w:t>Trends in Cognitive Sciences</w:t>
      </w:r>
      <w:r w:rsidRPr="0057203D">
        <w:t xml:space="preserve">, </w:t>
      </w:r>
      <w:r w:rsidRPr="0057203D">
        <w:rPr>
          <w:i/>
        </w:rPr>
        <w:t>11(2)</w:t>
      </w:r>
      <w:r w:rsidRPr="0057203D">
        <w:t>, 77-83.</w:t>
      </w:r>
      <w:r w:rsidR="00CA169E">
        <w:rPr>
          <w:rFonts w:hint="eastAsia"/>
        </w:rPr>
        <w:t xml:space="preserve"> </w:t>
      </w:r>
      <w:hyperlink r:id="rId25" w:history="1">
        <w:r w:rsidR="00CA169E" w:rsidRPr="00365C81">
          <w:rPr>
            <w:rStyle w:val="Hyperlink"/>
          </w:rPr>
          <w:t>https://doi.org/10.1016/j.tics.2006.11.005</w:t>
        </w:r>
      </w:hyperlink>
    </w:p>
    <w:p w14:paraId="0F8B1641" w14:textId="77777777" w:rsidR="00B23F30" w:rsidRDefault="004B711E" w:rsidP="00B23F30">
      <w:pPr>
        <w:spacing w:line="480" w:lineRule="auto"/>
        <w:ind w:left="480" w:hangingChars="200" w:hanging="480"/>
      </w:pPr>
      <w:r>
        <w:t xml:space="preserve">Foster, K.R., &amp; Kokko, H. (2006). Cheating can stabilize cooperation in mutualisms. </w:t>
      </w:r>
      <w:r>
        <w:rPr>
          <w:i/>
          <w:iCs/>
        </w:rPr>
        <w:t>Proceedings of the Royal Society of London B</w:t>
      </w:r>
      <w:r>
        <w:t xml:space="preserve">, </w:t>
      </w:r>
      <w:r>
        <w:rPr>
          <w:i/>
          <w:iCs/>
        </w:rPr>
        <w:t>273</w:t>
      </w:r>
      <w:r>
        <w:t>, 2233-2239.</w:t>
      </w:r>
      <w:r w:rsidR="00293E12">
        <w:rPr>
          <w:rFonts w:hint="eastAsia"/>
        </w:rPr>
        <w:t xml:space="preserve"> </w:t>
      </w:r>
      <w:hyperlink r:id="rId26" w:history="1">
        <w:r w:rsidR="00293E12" w:rsidRPr="00365C81">
          <w:rPr>
            <w:rStyle w:val="Hyperlink"/>
          </w:rPr>
          <w:t>https://doi.org/10.1098/rspb.2006.3571</w:t>
        </w:r>
      </w:hyperlink>
    </w:p>
    <w:p w14:paraId="0E8E24A0" w14:textId="77777777" w:rsidR="00B23F30" w:rsidRDefault="004B711E" w:rsidP="00B23F30">
      <w:pPr>
        <w:spacing w:line="480" w:lineRule="auto"/>
        <w:ind w:left="480" w:hangingChars="200" w:hanging="480"/>
      </w:pPr>
      <w:r>
        <w:t xml:space="preserve">Gangestad, S.W., &amp; Buss, D.M. (1993). Pathogen prevalence and human mate preferences. </w:t>
      </w:r>
      <w:r>
        <w:rPr>
          <w:i/>
          <w:iCs/>
        </w:rPr>
        <w:lastRenderedPageBreak/>
        <w:t>Ethology and Sociobiology</w:t>
      </w:r>
      <w:r>
        <w:t xml:space="preserve">, </w:t>
      </w:r>
      <w:r>
        <w:rPr>
          <w:i/>
          <w:iCs/>
        </w:rPr>
        <w:t>14</w:t>
      </w:r>
      <w:r>
        <w:t>, 89-96.</w:t>
      </w:r>
      <w:r w:rsidR="00293E12">
        <w:rPr>
          <w:rFonts w:hint="eastAsia"/>
        </w:rPr>
        <w:t xml:space="preserve"> </w:t>
      </w:r>
      <w:hyperlink r:id="rId27" w:history="1">
        <w:r w:rsidR="00E6445D" w:rsidRPr="00365C81">
          <w:rPr>
            <w:rStyle w:val="Hyperlink"/>
          </w:rPr>
          <w:t>https://doi.org/10.1016/0162-3095(93)90009-7</w:t>
        </w:r>
      </w:hyperlink>
    </w:p>
    <w:p w14:paraId="3B444597" w14:textId="77777777" w:rsidR="00B23F30" w:rsidRDefault="004B711E" w:rsidP="00B23F30">
      <w:pPr>
        <w:spacing w:line="480" w:lineRule="auto"/>
        <w:ind w:left="480" w:hangingChars="200" w:hanging="480"/>
      </w:pPr>
      <w:r w:rsidRPr="0057203D">
        <w:t xml:space="preserve">Kokko, H., Brooks, R., Jennions, M. D., &amp; Morley, J. (2003). The evolution of mate choice and mating biases. </w:t>
      </w:r>
      <w:r w:rsidRPr="0057203D">
        <w:rPr>
          <w:i/>
        </w:rPr>
        <w:t>Proceedings: Biological Sciences</w:t>
      </w:r>
      <w:r w:rsidRPr="0057203D">
        <w:t xml:space="preserve">, </w:t>
      </w:r>
      <w:r w:rsidRPr="0057203D">
        <w:rPr>
          <w:i/>
        </w:rPr>
        <w:t>270</w:t>
      </w:r>
      <w:r w:rsidRPr="0057203D">
        <w:t>, 653-664.</w:t>
      </w:r>
      <w:r w:rsidR="00180B1A">
        <w:rPr>
          <w:rFonts w:hint="eastAsia"/>
        </w:rPr>
        <w:t xml:space="preserve"> </w:t>
      </w:r>
      <w:hyperlink r:id="rId28" w:history="1">
        <w:r w:rsidR="00180B1A" w:rsidRPr="00365C81">
          <w:rPr>
            <w:rStyle w:val="Hyperlink"/>
          </w:rPr>
          <w:t>https://doi.org/10.1098/rspb.2002.2235</w:t>
        </w:r>
      </w:hyperlink>
    </w:p>
    <w:p w14:paraId="5CEC6C49" w14:textId="77777777" w:rsidR="00B23F30" w:rsidRDefault="004B711E" w:rsidP="00B23F30">
      <w:pPr>
        <w:spacing w:line="480" w:lineRule="auto"/>
        <w:ind w:left="480" w:hangingChars="200" w:hanging="480"/>
      </w:pPr>
      <w:r w:rsidRPr="0057203D">
        <w:t xml:space="preserve">McNamara, J. M., Barta, Z., Frohmage, L., &amp; Houston, A. I. (2008). The coevolution of choosiness and cooperation. </w:t>
      </w:r>
      <w:r w:rsidRPr="0057203D">
        <w:rPr>
          <w:i/>
        </w:rPr>
        <w:t>Nature</w:t>
      </w:r>
      <w:r w:rsidRPr="0057203D">
        <w:t xml:space="preserve">, </w:t>
      </w:r>
      <w:r w:rsidRPr="0057203D">
        <w:rPr>
          <w:i/>
        </w:rPr>
        <w:t>451</w:t>
      </w:r>
      <w:r w:rsidRPr="0057203D">
        <w:t>, 189-192.</w:t>
      </w:r>
      <w:r w:rsidR="00A046B2">
        <w:rPr>
          <w:rFonts w:hint="eastAsia"/>
        </w:rPr>
        <w:t xml:space="preserve"> </w:t>
      </w:r>
      <w:hyperlink r:id="rId29" w:history="1">
        <w:r w:rsidR="00A046B2" w:rsidRPr="00365C81">
          <w:rPr>
            <w:rStyle w:val="Hyperlink"/>
          </w:rPr>
          <w:t>https://doi.org/10.1038/nature06455</w:t>
        </w:r>
      </w:hyperlink>
    </w:p>
    <w:p w14:paraId="5BF60343" w14:textId="77777777" w:rsidR="00B23F30" w:rsidRDefault="004B711E" w:rsidP="00B23F30">
      <w:pPr>
        <w:spacing w:line="480" w:lineRule="auto"/>
        <w:ind w:left="480" w:hangingChars="200" w:hanging="480"/>
      </w:pPr>
      <w:r>
        <w:t xml:space="preserve">McNamara, J.J., Barta, Z., &amp; Houston, A.I. (2004). Variation in behaviour promotes cooperation in the Prisoner’s Dilemma. </w:t>
      </w:r>
      <w:r>
        <w:rPr>
          <w:i/>
          <w:iCs/>
        </w:rPr>
        <w:t>Nature</w:t>
      </w:r>
      <w:r>
        <w:t xml:space="preserve">, </w:t>
      </w:r>
      <w:r>
        <w:rPr>
          <w:i/>
          <w:iCs/>
        </w:rPr>
        <w:t>428</w:t>
      </w:r>
      <w:r>
        <w:t>, 745-748.</w:t>
      </w:r>
      <w:r w:rsidR="00A046B2">
        <w:rPr>
          <w:rFonts w:hint="eastAsia"/>
        </w:rPr>
        <w:t xml:space="preserve"> </w:t>
      </w:r>
      <w:hyperlink r:id="rId30" w:history="1">
        <w:r w:rsidR="00A046B2" w:rsidRPr="00365C81">
          <w:rPr>
            <w:rStyle w:val="Hyperlink"/>
          </w:rPr>
          <w:t>https://www.nature.com/articles/nature02432</w:t>
        </w:r>
      </w:hyperlink>
    </w:p>
    <w:p w14:paraId="2489FCEE" w14:textId="77777777" w:rsidR="00B23F30" w:rsidRDefault="004B711E" w:rsidP="00B23F30">
      <w:pPr>
        <w:spacing w:line="480" w:lineRule="auto"/>
        <w:ind w:left="480" w:hangingChars="200" w:hanging="480"/>
      </w:pPr>
      <w:r>
        <w:t xml:space="preserve">McNamara, J.J., &amp; Leimar, O. (2010). Variation and the response to variation as a basis for successful cooperation. </w:t>
      </w:r>
      <w:r>
        <w:rPr>
          <w:i/>
          <w:iCs/>
        </w:rPr>
        <w:t>Philosophical Transactions of the Royal Society of London B</w:t>
      </w:r>
      <w:r>
        <w:t xml:space="preserve">, </w:t>
      </w:r>
      <w:r>
        <w:rPr>
          <w:i/>
          <w:iCs/>
        </w:rPr>
        <w:t>365</w:t>
      </w:r>
      <w:r>
        <w:t>, 2627-2633.</w:t>
      </w:r>
      <w:r w:rsidR="00A046B2">
        <w:rPr>
          <w:rFonts w:hint="eastAsia"/>
        </w:rPr>
        <w:t xml:space="preserve"> </w:t>
      </w:r>
      <w:hyperlink r:id="rId31" w:history="1">
        <w:r w:rsidR="00A046B2" w:rsidRPr="00365C81">
          <w:rPr>
            <w:rStyle w:val="Hyperlink"/>
          </w:rPr>
          <w:t>https://doi.org/10.1098/rstb.2010.0159</w:t>
        </w:r>
      </w:hyperlink>
    </w:p>
    <w:p w14:paraId="2C2EB61C" w14:textId="77777777" w:rsidR="00B23F30" w:rsidRDefault="004B711E" w:rsidP="00B23F30">
      <w:pPr>
        <w:spacing w:line="480" w:lineRule="auto"/>
        <w:ind w:left="480" w:hangingChars="200" w:hanging="480"/>
      </w:pPr>
      <w:r w:rsidRPr="0057203D">
        <w:t xml:space="preserve">Noë, R., &amp; Hammerstein, P. (1994). Biological markets: supply and demand determine the effect of partner choice in cooperation, mutualism and mating. </w:t>
      </w:r>
      <w:r w:rsidRPr="0057203D">
        <w:rPr>
          <w:i/>
        </w:rPr>
        <w:t>Behavioral Ecology &amp; Sociobiology</w:t>
      </w:r>
      <w:r w:rsidRPr="0057203D">
        <w:t xml:space="preserve">, </w:t>
      </w:r>
      <w:r w:rsidRPr="0057203D">
        <w:rPr>
          <w:i/>
        </w:rPr>
        <w:t>35</w:t>
      </w:r>
      <w:r w:rsidRPr="0057203D">
        <w:t>, 1-11.</w:t>
      </w:r>
      <w:r w:rsidR="00A046B2">
        <w:rPr>
          <w:rFonts w:hint="eastAsia"/>
        </w:rPr>
        <w:t xml:space="preserve"> </w:t>
      </w:r>
      <w:hyperlink r:id="rId32" w:history="1">
        <w:r w:rsidR="00A046B2" w:rsidRPr="00365C81">
          <w:rPr>
            <w:rStyle w:val="Hyperlink"/>
          </w:rPr>
          <w:t>https://doi.org/10.1007/BF00167053</w:t>
        </w:r>
      </w:hyperlink>
    </w:p>
    <w:p w14:paraId="16FC5CD4" w14:textId="77777777" w:rsidR="00B23F30" w:rsidRDefault="004B711E" w:rsidP="00B23F30">
      <w:pPr>
        <w:spacing w:line="480" w:lineRule="auto"/>
        <w:ind w:left="480" w:hangingChars="200" w:hanging="480"/>
      </w:pPr>
      <w:r w:rsidRPr="0057203D">
        <w:t xml:space="preserve">Noë, R., &amp; Hammerstein, P. (1995). Biological markets. </w:t>
      </w:r>
      <w:r w:rsidRPr="0057203D">
        <w:rPr>
          <w:i/>
        </w:rPr>
        <w:t>Trends in Ecology &amp; Evolution</w:t>
      </w:r>
      <w:r w:rsidRPr="0057203D">
        <w:t xml:space="preserve">, </w:t>
      </w:r>
      <w:r w:rsidRPr="0057203D">
        <w:rPr>
          <w:i/>
        </w:rPr>
        <w:t>10</w:t>
      </w:r>
      <w:r w:rsidRPr="0057203D">
        <w:t>, 336-339.</w:t>
      </w:r>
      <w:r w:rsidR="007C4110">
        <w:rPr>
          <w:rFonts w:hint="eastAsia"/>
        </w:rPr>
        <w:t xml:space="preserve"> </w:t>
      </w:r>
      <w:hyperlink r:id="rId33" w:history="1">
        <w:r w:rsidR="007C4110" w:rsidRPr="00365C81">
          <w:rPr>
            <w:rStyle w:val="Hyperlink"/>
          </w:rPr>
          <w:t>https://doi.org/10.1016/S0169-5347(00)89123-5</w:t>
        </w:r>
      </w:hyperlink>
    </w:p>
    <w:p w14:paraId="23CA670A" w14:textId="77777777" w:rsidR="00B23F30" w:rsidRDefault="004B711E" w:rsidP="00B23F30">
      <w:pPr>
        <w:spacing w:line="480" w:lineRule="auto"/>
        <w:ind w:left="480" w:hangingChars="200" w:hanging="480"/>
      </w:pPr>
      <w:r>
        <w:rPr>
          <w:color w:val="000000"/>
          <w:shd w:val="clear" w:color="auto" w:fill="FDFDFD"/>
        </w:rPr>
        <w:t xml:space="preserve">Raihani, N., &amp; Barclay, P. (2016). Exploring the trade-off between quality and fairness in human partner choice. </w:t>
      </w:r>
      <w:r>
        <w:rPr>
          <w:i/>
          <w:color w:val="000000"/>
          <w:shd w:val="clear" w:color="auto" w:fill="FDFDFD"/>
        </w:rPr>
        <w:t>Royal Society Open Science</w:t>
      </w:r>
      <w:r>
        <w:rPr>
          <w:color w:val="000000"/>
          <w:shd w:val="clear" w:color="auto" w:fill="FDFDFD"/>
        </w:rPr>
        <w:t xml:space="preserve">, </w:t>
      </w:r>
      <w:r>
        <w:rPr>
          <w:i/>
          <w:color w:val="000000"/>
          <w:shd w:val="clear" w:color="auto" w:fill="FDFDFD"/>
        </w:rPr>
        <w:t>3</w:t>
      </w:r>
      <w:r>
        <w:rPr>
          <w:color w:val="000000"/>
          <w:shd w:val="clear" w:color="auto" w:fill="FDFDFD"/>
        </w:rPr>
        <w:t xml:space="preserve">, 160510. </w:t>
      </w:r>
      <w:hyperlink r:id="rId34" w:history="1">
        <w:r w:rsidRPr="0022435E">
          <w:rPr>
            <w:rStyle w:val="Hyperlink"/>
            <w:shd w:val="clear" w:color="auto" w:fill="FDFDFD"/>
          </w:rPr>
          <w:t>https://doi.org/</w:t>
        </w:r>
        <w:r w:rsidRPr="0022435E">
          <w:rPr>
            <w:rStyle w:val="Hyperlink"/>
          </w:rPr>
          <w:t>10.1098/rsos.160510</w:t>
        </w:r>
      </w:hyperlink>
    </w:p>
    <w:p w14:paraId="7A1B764F" w14:textId="77777777" w:rsidR="00B23F30" w:rsidRDefault="004B711E" w:rsidP="00B23F30">
      <w:pPr>
        <w:spacing w:line="480" w:lineRule="auto"/>
        <w:ind w:left="480" w:hangingChars="200" w:hanging="480"/>
        <w:rPr>
          <w:rStyle w:val="epub-sectionitem"/>
        </w:rPr>
      </w:pPr>
      <w:r>
        <w:t xml:space="preserve">Roberts, G., Raihani, N., Bshary, R., Manrique, H., Farina, A., Samu, F., &amp; Barclay, P. (2021). The benefits of being seen to help others: indirect reciprocity and reputation-based partner choice. </w:t>
      </w:r>
      <w:r>
        <w:rPr>
          <w:i/>
          <w:iCs/>
        </w:rPr>
        <w:t>Philosophical Transactions of the Royal Society B</w:t>
      </w:r>
      <w:r>
        <w:t xml:space="preserve">, </w:t>
      </w:r>
      <w:r w:rsidRPr="009766AD">
        <w:rPr>
          <w:i/>
          <w:iCs/>
        </w:rPr>
        <w:t>376</w:t>
      </w:r>
      <w:r w:rsidRPr="009766AD">
        <w:t>, 20200290</w:t>
      </w:r>
      <w:r>
        <w:t xml:space="preserve">. </w:t>
      </w:r>
      <w:hyperlink r:id="rId35" w:history="1">
        <w:r w:rsidRPr="008E0F45">
          <w:rPr>
            <w:rStyle w:val="Hyperlink"/>
          </w:rPr>
          <w:t>https://doi.org/10.1098/rstb.2020.0290</w:t>
        </w:r>
      </w:hyperlink>
    </w:p>
    <w:p w14:paraId="5CA8DEDB" w14:textId="77777777" w:rsidR="00B23F30" w:rsidRDefault="004B711E" w:rsidP="00B23F30">
      <w:pPr>
        <w:spacing w:line="480" w:lineRule="auto"/>
        <w:ind w:left="480" w:hangingChars="200" w:hanging="480"/>
        <w:rPr>
          <w:rStyle w:val="epub-sectionitem"/>
        </w:rPr>
      </w:pPr>
      <w:r>
        <w:rPr>
          <w:rStyle w:val="epub-sectionitem"/>
        </w:rPr>
        <w:lastRenderedPageBreak/>
        <w:t xml:space="preserve">Schino, G., &amp; Aureli, F. (2017). Reciprocity in group-living animals: partner control </w:t>
      </w:r>
      <w:r>
        <w:rPr>
          <w:rStyle w:val="epub-sectionitem"/>
          <w:i/>
          <w:iCs/>
        </w:rPr>
        <w:t>versus</w:t>
      </w:r>
      <w:r>
        <w:rPr>
          <w:rStyle w:val="epub-sectionitem"/>
        </w:rPr>
        <w:t xml:space="preserve"> partner choice. </w:t>
      </w:r>
      <w:r>
        <w:rPr>
          <w:rStyle w:val="epub-sectionitem"/>
          <w:i/>
          <w:iCs/>
        </w:rPr>
        <w:t>Biological Reviews</w:t>
      </w:r>
      <w:r>
        <w:rPr>
          <w:rStyle w:val="epub-sectionitem"/>
        </w:rPr>
        <w:t xml:space="preserve">, </w:t>
      </w:r>
      <w:r>
        <w:rPr>
          <w:rStyle w:val="epub-sectionitem"/>
          <w:i/>
          <w:iCs/>
        </w:rPr>
        <w:t>92</w:t>
      </w:r>
      <w:r>
        <w:rPr>
          <w:rStyle w:val="epub-sectionitem"/>
        </w:rPr>
        <w:t>, 665-672.</w:t>
      </w:r>
      <w:r w:rsidR="00216E47">
        <w:rPr>
          <w:rStyle w:val="epub-sectionitem"/>
          <w:rFonts w:hint="eastAsia"/>
        </w:rPr>
        <w:t xml:space="preserve"> </w:t>
      </w:r>
      <w:hyperlink r:id="rId36" w:history="1">
        <w:r w:rsidR="00216E47" w:rsidRPr="00365C81">
          <w:rPr>
            <w:rStyle w:val="Hyperlink"/>
          </w:rPr>
          <w:t>https://doi.org/10.1111/brv.12248</w:t>
        </w:r>
      </w:hyperlink>
    </w:p>
    <w:p w14:paraId="17FF7C52" w14:textId="77777777" w:rsidR="00B23F30" w:rsidRDefault="004B711E" w:rsidP="00B23F30">
      <w:pPr>
        <w:spacing w:line="480" w:lineRule="auto"/>
        <w:ind w:left="480" w:hangingChars="200" w:hanging="480"/>
      </w:pPr>
      <w:r w:rsidRPr="0057203D">
        <w:t xml:space="preserve">Searcy, W. A., &amp; Nowicki, S. (2005). </w:t>
      </w:r>
      <w:r w:rsidRPr="0057203D">
        <w:rPr>
          <w:i/>
        </w:rPr>
        <w:t>The Evolution of Animal Communication: Reliability and Deception in Signaling Systems</w:t>
      </w:r>
      <w:r w:rsidRPr="0057203D">
        <w:t>. Princeton, NJ: Princeton University Press.</w:t>
      </w:r>
    </w:p>
    <w:p w14:paraId="5794CFC6" w14:textId="77777777" w:rsidR="00B23F30" w:rsidRDefault="004B711E" w:rsidP="00B23F30">
      <w:pPr>
        <w:spacing w:line="480" w:lineRule="auto"/>
        <w:ind w:left="480" w:hangingChars="200" w:hanging="480"/>
      </w:pPr>
      <w:r>
        <w:t xml:space="preserve">Sherratt, T.N., &amp; Roberts, G. (2001). The importance of phenotypic defectors in stabilizing reciprocal altruism. </w:t>
      </w:r>
      <w:r>
        <w:rPr>
          <w:i/>
          <w:iCs/>
        </w:rPr>
        <w:t>Behavioral Ecology</w:t>
      </w:r>
      <w:r>
        <w:t xml:space="preserve">, </w:t>
      </w:r>
      <w:r>
        <w:rPr>
          <w:i/>
          <w:iCs/>
        </w:rPr>
        <w:t>12(3)</w:t>
      </w:r>
      <w:r>
        <w:t>, 313-317.</w:t>
      </w:r>
      <w:r w:rsidR="0023246C">
        <w:rPr>
          <w:rFonts w:hint="eastAsia"/>
        </w:rPr>
        <w:t xml:space="preserve"> </w:t>
      </w:r>
      <w:hyperlink r:id="rId37" w:history="1">
        <w:r w:rsidR="0023246C" w:rsidRPr="00365C81">
          <w:rPr>
            <w:rStyle w:val="Hyperlink"/>
          </w:rPr>
          <w:t>https://doi.org/10.1093/beheco/12.3.313</w:t>
        </w:r>
      </w:hyperlink>
    </w:p>
    <w:p w14:paraId="33026A81" w14:textId="77777777" w:rsidR="00B23F30" w:rsidRDefault="004B711E" w:rsidP="00B23F30">
      <w:pPr>
        <w:spacing w:line="480" w:lineRule="auto"/>
        <w:ind w:left="480" w:hangingChars="200" w:hanging="480"/>
      </w:pPr>
      <w:r>
        <w:t xml:space="preserve">Smith, K.M., &amp; Apicella, C.L. (2020). Partner choice in human evolution: The role of cooperation, foraging ability, and culture in Hadza campmate preferences. </w:t>
      </w:r>
      <w:r>
        <w:rPr>
          <w:i/>
          <w:iCs/>
        </w:rPr>
        <w:t>Evolution and Human Behavior</w:t>
      </w:r>
      <w:r>
        <w:t xml:space="preserve">, </w:t>
      </w:r>
      <w:r>
        <w:rPr>
          <w:i/>
          <w:iCs/>
        </w:rPr>
        <w:t>41</w:t>
      </w:r>
      <w:r>
        <w:t>, 354-366.</w:t>
      </w:r>
      <w:r w:rsidR="0023246C">
        <w:rPr>
          <w:rFonts w:hint="eastAsia"/>
        </w:rPr>
        <w:t xml:space="preserve"> </w:t>
      </w:r>
      <w:hyperlink r:id="rId38" w:history="1">
        <w:r w:rsidR="0023246C" w:rsidRPr="00365C81">
          <w:rPr>
            <w:rStyle w:val="Hyperlink"/>
          </w:rPr>
          <w:t>https://doi.org/10.1016/j.evolhumbehav.2020.07.009</w:t>
        </w:r>
      </w:hyperlink>
    </w:p>
    <w:p w14:paraId="3C7993D5" w14:textId="64FE18DA" w:rsidR="004B711E" w:rsidRDefault="004B711E" w:rsidP="00B23F30">
      <w:pPr>
        <w:spacing w:line="480" w:lineRule="auto"/>
        <w:ind w:left="480" w:hangingChars="200" w:hanging="480"/>
      </w:pPr>
      <w:r w:rsidRPr="0057203D">
        <w:t xml:space="preserve">Sylwester, K., &amp; Roberts, G. (2010). Cooperators benefit through reputation-based partner choice in economic games. </w:t>
      </w:r>
      <w:r w:rsidRPr="0057203D">
        <w:rPr>
          <w:i/>
        </w:rPr>
        <w:t>Biology Letters</w:t>
      </w:r>
      <w:r w:rsidRPr="0057203D">
        <w:t>, 6</w:t>
      </w:r>
      <w:r w:rsidRPr="0057203D">
        <w:rPr>
          <w:i/>
        </w:rPr>
        <w:t xml:space="preserve">, </w:t>
      </w:r>
      <w:r w:rsidRPr="00444D3C">
        <w:rPr>
          <w:iCs/>
        </w:rPr>
        <w:t>659-662.</w:t>
      </w:r>
      <w:r w:rsidR="0023246C" w:rsidRPr="0023246C">
        <w:rPr>
          <w:rFonts w:hint="eastAsia"/>
          <w:iCs/>
        </w:rPr>
        <w:t xml:space="preserve"> </w:t>
      </w:r>
      <w:hyperlink r:id="rId39" w:history="1">
        <w:r w:rsidR="0023246C" w:rsidRPr="0023246C">
          <w:rPr>
            <w:rStyle w:val="Hyperlink"/>
            <w:iCs/>
          </w:rPr>
          <w:t>https://doi.org/10.1098/rsbl.2010.0209</w:t>
        </w:r>
      </w:hyperlink>
    </w:p>
    <w:p w14:paraId="58F9AA26" w14:textId="77777777" w:rsidR="00B23F30" w:rsidRDefault="00B23F30" w:rsidP="00B23F30">
      <w:pPr>
        <w:spacing w:line="480" w:lineRule="auto"/>
        <w:ind w:left="480" w:hangingChars="200" w:hanging="480"/>
      </w:pPr>
    </w:p>
    <w:sectPr w:rsidR="00B23F30" w:rsidSect="00D96C55">
      <w:footerReference w:type="default" r:id="rId40"/>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CAE1" w14:textId="77777777" w:rsidR="00A347BA" w:rsidRDefault="00A347BA" w:rsidP="00D96C55">
      <w:r>
        <w:separator/>
      </w:r>
    </w:p>
  </w:endnote>
  <w:endnote w:type="continuationSeparator" w:id="0">
    <w:p w14:paraId="58666CE8" w14:textId="77777777" w:rsidR="00A347BA" w:rsidRDefault="00A347BA" w:rsidP="00D9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87900"/>
      <w:docPartObj>
        <w:docPartGallery w:val="Page Numbers (Bottom of Page)"/>
        <w:docPartUnique/>
      </w:docPartObj>
    </w:sdtPr>
    <w:sdtEndPr>
      <w:rPr>
        <w:noProof/>
      </w:rPr>
    </w:sdtEndPr>
    <w:sdtContent>
      <w:p w14:paraId="42154501" w14:textId="6FB0DB34" w:rsidR="00D96C55" w:rsidRDefault="00D96C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749DB" w14:textId="77777777" w:rsidR="00D96C55" w:rsidRDefault="00D9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7C093" w14:textId="77777777" w:rsidR="00A347BA" w:rsidRDefault="00A347BA" w:rsidP="00D96C55">
      <w:r>
        <w:separator/>
      </w:r>
    </w:p>
  </w:footnote>
  <w:footnote w:type="continuationSeparator" w:id="0">
    <w:p w14:paraId="53FB4A82" w14:textId="77777777" w:rsidR="00A347BA" w:rsidRDefault="00A347BA" w:rsidP="00D96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55"/>
    <w:rsid w:val="0000118E"/>
    <w:rsid w:val="0000234B"/>
    <w:rsid w:val="00004953"/>
    <w:rsid w:val="00024ACA"/>
    <w:rsid w:val="00025E64"/>
    <w:rsid w:val="00037A94"/>
    <w:rsid w:val="00052656"/>
    <w:rsid w:val="000805B8"/>
    <w:rsid w:val="00085618"/>
    <w:rsid w:val="0009611E"/>
    <w:rsid w:val="000C03DC"/>
    <w:rsid w:val="000C6C10"/>
    <w:rsid w:val="000F4EAD"/>
    <w:rsid w:val="00115A20"/>
    <w:rsid w:val="0013107A"/>
    <w:rsid w:val="0013745E"/>
    <w:rsid w:val="00137AC7"/>
    <w:rsid w:val="001432AB"/>
    <w:rsid w:val="00145F30"/>
    <w:rsid w:val="00157C33"/>
    <w:rsid w:val="00162C45"/>
    <w:rsid w:val="00167B87"/>
    <w:rsid w:val="001710C5"/>
    <w:rsid w:val="00180B1A"/>
    <w:rsid w:val="0019571A"/>
    <w:rsid w:val="001A2B10"/>
    <w:rsid w:val="001B501A"/>
    <w:rsid w:val="001C4F62"/>
    <w:rsid w:val="001D1679"/>
    <w:rsid w:val="001F17BA"/>
    <w:rsid w:val="001F2C81"/>
    <w:rsid w:val="0020045C"/>
    <w:rsid w:val="00216E47"/>
    <w:rsid w:val="0023246C"/>
    <w:rsid w:val="00243E37"/>
    <w:rsid w:val="00244BBE"/>
    <w:rsid w:val="00247A57"/>
    <w:rsid w:val="0026074E"/>
    <w:rsid w:val="00261CC0"/>
    <w:rsid w:val="002661F3"/>
    <w:rsid w:val="002757A7"/>
    <w:rsid w:val="002813B8"/>
    <w:rsid w:val="00287BC7"/>
    <w:rsid w:val="00293E12"/>
    <w:rsid w:val="002C038A"/>
    <w:rsid w:val="002E6372"/>
    <w:rsid w:val="002E71E3"/>
    <w:rsid w:val="002F0290"/>
    <w:rsid w:val="002F150C"/>
    <w:rsid w:val="002F7E7F"/>
    <w:rsid w:val="00301B3A"/>
    <w:rsid w:val="00330DCC"/>
    <w:rsid w:val="00345735"/>
    <w:rsid w:val="003459B2"/>
    <w:rsid w:val="0035111C"/>
    <w:rsid w:val="003776ED"/>
    <w:rsid w:val="003B4A8B"/>
    <w:rsid w:val="003C39CE"/>
    <w:rsid w:val="003E39EF"/>
    <w:rsid w:val="003F1151"/>
    <w:rsid w:val="00401413"/>
    <w:rsid w:val="00415290"/>
    <w:rsid w:val="0041535C"/>
    <w:rsid w:val="00423F5A"/>
    <w:rsid w:val="00430F47"/>
    <w:rsid w:val="00444D3C"/>
    <w:rsid w:val="004462DA"/>
    <w:rsid w:val="00450E5A"/>
    <w:rsid w:val="00460366"/>
    <w:rsid w:val="00461D94"/>
    <w:rsid w:val="004819AB"/>
    <w:rsid w:val="00486D78"/>
    <w:rsid w:val="00493C01"/>
    <w:rsid w:val="004B0396"/>
    <w:rsid w:val="004B711E"/>
    <w:rsid w:val="004D2D5C"/>
    <w:rsid w:val="00502EB6"/>
    <w:rsid w:val="00537C20"/>
    <w:rsid w:val="005617D9"/>
    <w:rsid w:val="00570397"/>
    <w:rsid w:val="00571BD3"/>
    <w:rsid w:val="005754E2"/>
    <w:rsid w:val="0057791D"/>
    <w:rsid w:val="00577C69"/>
    <w:rsid w:val="00581CC1"/>
    <w:rsid w:val="00596D8A"/>
    <w:rsid w:val="005B39DF"/>
    <w:rsid w:val="005B6216"/>
    <w:rsid w:val="005B7757"/>
    <w:rsid w:val="005D0658"/>
    <w:rsid w:val="005E3F24"/>
    <w:rsid w:val="005E7509"/>
    <w:rsid w:val="005F44FB"/>
    <w:rsid w:val="00603210"/>
    <w:rsid w:val="00621C01"/>
    <w:rsid w:val="00624CB7"/>
    <w:rsid w:val="0062530D"/>
    <w:rsid w:val="00676E4A"/>
    <w:rsid w:val="00695B66"/>
    <w:rsid w:val="006B53A2"/>
    <w:rsid w:val="006C7606"/>
    <w:rsid w:val="006F551B"/>
    <w:rsid w:val="006F73A1"/>
    <w:rsid w:val="00704561"/>
    <w:rsid w:val="00705545"/>
    <w:rsid w:val="007169E6"/>
    <w:rsid w:val="00721CEC"/>
    <w:rsid w:val="00724C44"/>
    <w:rsid w:val="00731250"/>
    <w:rsid w:val="007448F5"/>
    <w:rsid w:val="00744A90"/>
    <w:rsid w:val="00751419"/>
    <w:rsid w:val="0075643D"/>
    <w:rsid w:val="007714AC"/>
    <w:rsid w:val="00783080"/>
    <w:rsid w:val="007B4D73"/>
    <w:rsid w:val="007C01FD"/>
    <w:rsid w:val="007C280E"/>
    <w:rsid w:val="007C4110"/>
    <w:rsid w:val="007D4CB9"/>
    <w:rsid w:val="00815E7D"/>
    <w:rsid w:val="00816BAC"/>
    <w:rsid w:val="0081707E"/>
    <w:rsid w:val="008263A6"/>
    <w:rsid w:val="00845439"/>
    <w:rsid w:val="008547E7"/>
    <w:rsid w:val="00860C11"/>
    <w:rsid w:val="008C0F9F"/>
    <w:rsid w:val="008C37DB"/>
    <w:rsid w:val="008D0EC9"/>
    <w:rsid w:val="008D3C80"/>
    <w:rsid w:val="008E7C07"/>
    <w:rsid w:val="009003EE"/>
    <w:rsid w:val="00927AFC"/>
    <w:rsid w:val="00950387"/>
    <w:rsid w:val="009554AA"/>
    <w:rsid w:val="00964125"/>
    <w:rsid w:val="00980D83"/>
    <w:rsid w:val="009E7008"/>
    <w:rsid w:val="00A046B2"/>
    <w:rsid w:val="00A11BD5"/>
    <w:rsid w:val="00A24054"/>
    <w:rsid w:val="00A24B5C"/>
    <w:rsid w:val="00A277AD"/>
    <w:rsid w:val="00A347BA"/>
    <w:rsid w:val="00A40DCE"/>
    <w:rsid w:val="00A60C5A"/>
    <w:rsid w:val="00A63423"/>
    <w:rsid w:val="00A65BFB"/>
    <w:rsid w:val="00A81845"/>
    <w:rsid w:val="00AE4C64"/>
    <w:rsid w:val="00AE7617"/>
    <w:rsid w:val="00B01430"/>
    <w:rsid w:val="00B0287A"/>
    <w:rsid w:val="00B07756"/>
    <w:rsid w:val="00B12499"/>
    <w:rsid w:val="00B1382C"/>
    <w:rsid w:val="00B23F30"/>
    <w:rsid w:val="00B24B0E"/>
    <w:rsid w:val="00B32D6E"/>
    <w:rsid w:val="00B67EA6"/>
    <w:rsid w:val="00B74220"/>
    <w:rsid w:val="00B77B27"/>
    <w:rsid w:val="00BB4943"/>
    <w:rsid w:val="00BC78F1"/>
    <w:rsid w:val="00BD6672"/>
    <w:rsid w:val="00BE14BE"/>
    <w:rsid w:val="00C01D70"/>
    <w:rsid w:val="00C05BAF"/>
    <w:rsid w:val="00C0671A"/>
    <w:rsid w:val="00C133B0"/>
    <w:rsid w:val="00C149A7"/>
    <w:rsid w:val="00C32BEE"/>
    <w:rsid w:val="00C50B97"/>
    <w:rsid w:val="00C517DE"/>
    <w:rsid w:val="00C53FEE"/>
    <w:rsid w:val="00C86E9B"/>
    <w:rsid w:val="00C92F00"/>
    <w:rsid w:val="00CA00DF"/>
    <w:rsid w:val="00CA169E"/>
    <w:rsid w:val="00CB47A2"/>
    <w:rsid w:val="00CB7581"/>
    <w:rsid w:val="00CC59CB"/>
    <w:rsid w:val="00CD4B7B"/>
    <w:rsid w:val="00CE0237"/>
    <w:rsid w:val="00CE2EDB"/>
    <w:rsid w:val="00D0555D"/>
    <w:rsid w:val="00D133FE"/>
    <w:rsid w:val="00D61231"/>
    <w:rsid w:val="00D62BC9"/>
    <w:rsid w:val="00D731F7"/>
    <w:rsid w:val="00D96C55"/>
    <w:rsid w:val="00DA2286"/>
    <w:rsid w:val="00DA40EC"/>
    <w:rsid w:val="00DB4CB1"/>
    <w:rsid w:val="00DB5F7C"/>
    <w:rsid w:val="00DC3C63"/>
    <w:rsid w:val="00DC6923"/>
    <w:rsid w:val="00DE0502"/>
    <w:rsid w:val="00DF1992"/>
    <w:rsid w:val="00DF4343"/>
    <w:rsid w:val="00E15CCD"/>
    <w:rsid w:val="00E24491"/>
    <w:rsid w:val="00E6445D"/>
    <w:rsid w:val="00E75122"/>
    <w:rsid w:val="00EA63EB"/>
    <w:rsid w:val="00EC16B5"/>
    <w:rsid w:val="00ED0B94"/>
    <w:rsid w:val="00EE1347"/>
    <w:rsid w:val="00EE3C5F"/>
    <w:rsid w:val="00EE64BE"/>
    <w:rsid w:val="00EF112D"/>
    <w:rsid w:val="00EF586E"/>
    <w:rsid w:val="00F15828"/>
    <w:rsid w:val="00F24EEE"/>
    <w:rsid w:val="00F52E12"/>
    <w:rsid w:val="00F54F58"/>
    <w:rsid w:val="00F569A6"/>
    <w:rsid w:val="00F63A5C"/>
    <w:rsid w:val="00F9012C"/>
    <w:rsid w:val="00F95CFA"/>
    <w:rsid w:val="00F97D58"/>
    <w:rsid w:val="00FA3772"/>
    <w:rsid w:val="00FA7B06"/>
    <w:rsid w:val="00FD49F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1DC9C51F"/>
  <w15:chartTrackingRefBased/>
  <w15:docId w15:val="{E40B5D28-D178-4D3A-A6D2-1130E539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55"/>
    <w:pPr>
      <w:widowControl w:val="0"/>
      <w:jc w:val="both"/>
    </w:pPr>
    <w:rPr>
      <w:color w:val="000000" w:themeColor="text1"/>
      <w:lang w:val="" w:eastAsia="ja-JP"/>
      <w14:ligatures w14:val="none"/>
    </w:rPr>
  </w:style>
  <w:style w:type="paragraph" w:styleId="Heading1">
    <w:name w:val="heading 1"/>
    <w:basedOn w:val="Normal"/>
    <w:next w:val="Normal"/>
    <w:link w:val="Heading1Char"/>
    <w:uiPriority w:val="9"/>
    <w:qFormat/>
    <w:rsid w:val="00D96C55"/>
    <w:pPr>
      <w:keepNext/>
      <w:keepLines/>
      <w:widowControl/>
      <w:spacing w:before="360" w:after="80"/>
      <w:jc w:val="left"/>
      <w:outlineLvl w:val="0"/>
    </w:pPr>
    <w:rPr>
      <w:rFonts w:asciiTheme="majorHAnsi" w:eastAsiaTheme="majorEastAsia" w:hAnsiTheme="majorHAnsi" w:cstheme="majorBidi"/>
      <w:color w:val="0F4761" w:themeColor="accent1" w:themeShade="BF"/>
      <w:sz w:val="40"/>
      <w:szCs w:val="40"/>
      <w:lang w:val="en-CA" w:eastAsia="en-US"/>
      <w14:ligatures w14:val="standardContextual"/>
    </w:rPr>
  </w:style>
  <w:style w:type="paragraph" w:styleId="Heading2">
    <w:name w:val="heading 2"/>
    <w:basedOn w:val="Normal"/>
    <w:next w:val="Normal"/>
    <w:link w:val="Heading2Char"/>
    <w:uiPriority w:val="9"/>
    <w:semiHidden/>
    <w:unhideWhenUsed/>
    <w:qFormat/>
    <w:rsid w:val="00D96C55"/>
    <w:pPr>
      <w:keepNext/>
      <w:keepLines/>
      <w:widowControl/>
      <w:spacing w:before="160" w:after="80"/>
      <w:jc w:val="left"/>
      <w:outlineLvl w:val="1"/>
    </w:pPr>
    <w:rPr>
      <w:rFonts w:asciiTheme="majorHAnsi" w:eastAsiaTheme="majorEastAsia" w:hAnsiTheme="majorHAnsi" w:cstheme="majorBidi"/>
      <w:color w:val="0F4761" w:themeColor="accent1" w:themeShade="BF"/>
      <w:sz w:val="32"/>
      <w:szCs w:val="32"/>
      <w:lang w:val="en-CA" w:eastAsia="en-US"/>
      <w14:ligatures w14:val="standardContextual"/>
    </w:rPr>
  </w:style>
  <w:style w:type="paragraph" w:styleId="Heading3">
    <w:name w:val="heading 3"/>
    <w:basedOn w:val="Normal"/>
    <w:next w:val="Normal"/>
    <w:link w:val="Heading3Char"/>
    <w:uiPriority w:val="9"/>
    <w:semiHidden/>
    <w:unhideWhenUsed/>
    <w:qFormat/>
    <w:rsid w:val="00D96C55"/>
    <w:pPr>
      <w:keepNext/>
      <w:keepLines/>
      <w:widowControl/>
      <w:spacing w:before="160" w:after="80"/>
      <w:jc w:val="left"/>
      <w:outlineLvl w:val="2"/>
    </w:pPr>
    <w:rPr>
      <w:rFonts w:asciiTheme="minorHAnsi" w:eastAsiaTheme="majorEastAsia" w:hAnsiTheme="minorHAnsi" w:cstheme="majorBidi"/>
      <w:color w:val="0F4761" w:themeColor="accent1" w:themeShade="BF"/>
      <w:sz w:val="28"/>
      <w:szCs w:val="28"/>
      <w:lang w:val="en-CA" w:eastAsia="en-US"/>
      <w14:ligatures w14:val="standardContextual"/>
    </w:rPr>
  </w:style>
  <w:style w:type="paragraph" w:styleId="Heading4">
    <w:name w:val="heading 4"/>
    <w:basedOn w:val="Normal"/>
    <w:next w:val="Normal"/>
    <w:link w:val="Heading4Char"/>
    <w:uiPriority w:val="9"/>
    <w:semiHidden/>
    <w:unhideWhenUsed/>
    <w:qFormat/>
    <w:rsid w:val="00D96C55"/>
    <w:pPr>
      <w:keepNext/>
      <w:keepLines/>
      <w:widowControl/>
      <w:spacing w:before="80" w:after="40"/>
      <w:jc w:val="left"/>
      <w:outlineLvl w:val="3"/>
    </w:pPr>
    <w:rPr>
      <w:rFonts w:asciiTheme="minorHAnsi" w:eastAsiaTheme="majorEastAsia" w:hAnsiTheme="minorHAnsi" w:cstheme="majorBidi"/>
      <w:i/>
      <w:iCs/>
      <w:color w:val="0F4761" w:themeColor="accent1" w:themeShade="BF"/>
      <w:lang w:val="en-CA" w:eastAsia="en-US"/>
      <w14:ligatures w14:val="standardContextual"/>
    </w:rPr>
  </w:style>
  <w:style w:type="paragraph" w:styleId="Heading5">
    <w:name w:val="heading 5"/>
    <w:basedOn w:val="Normal"/>
    <w:next w:val="Normal"/>
    <w:link w:val="Heading5Char"/>
    <w:uiPriority w:val="9"/>
    <w:semiHidden/>
    <w:unhideWhenUsed/>
    <w:qFormat/>
    <w:rsid w:val="00D96C55"/>
    <w:pPr>
      <w:keepNext/>
      <w:keepLines/>
      <w:widowControl/>
      <w:spacing w:before="80" w:after="40"/>
      <w:jc w:val="left"/>
      <w:outlineLvl w:val="4"/>
    </w:pPr>
    <w:rPr>
      <w:rFonts w:asciiTheme="minorHAnsi" w:eastAsiaTheme="majorEastAsia" w:hAnsiTheme="minorHAnsi" w:cstheme="majorBidi"/>
      <w:color w:val="0F4761" w:themeColor="accent1" w:themeShade="BF"/>
      <w:lang w:val="en-CA" w:eastAsia="en-US"/>
      <w14:ligatures w14:val="standardContextual"/>
    </w:rPr>
  </w:style>
  <w:style w:type="paragraph" w:styleId="Heading6">
    <w:name w:val="heading 6"/>
    <w:basedOn w:val="Normal"/>
    <w:next w:val="Normal"/>
    <w:link w:val="Heading6Char"/>
    <w:uiPriority w:val="9"/>
    <w:semiHidden/>
    <w:unhideWhenUsed/>
    <w:qFormat/>
    <w:rsid w:val="00D96C55"/>
    <w:pPr>
      <w:keepNext/>
      <w:keepLines/>
      <w:widowControl/>
      <w:spacing w:before="40"/>
      <w:jc w:val="left"/>
      <w:outlineLvl w:val="5"/>
    </w:pPr>
    <w:rPr>
      <w:rFonts w:asciiTheme="minorHAnsi" w:eastAsiaTheme="majorEastAsia" w:hAnsiTheme="minorHAnsi" w:cstheme="majorBidi"/>
      <w:i/>
      <w:iCs/>
      <w:color w:val="595959" w:themeColor="text1" w:themeTint="A6"/>
      <w:lang w:val="en-CA" w:eastAsia="en-US"/>
      <w14:ligatures w14:val="standardContextual"/>
    </w:rPr>
  </w:style>
  <w:style w:type="paragraph" w:styleId="Heading7">
    <w:name w:val="heading 7"/>
    <w:basedOn w:val="Normal"/>
    <w:next w:val="Normal"/>
    <w:link w:val="Heading7Char"/>
    <w:uiPriority w:val="9"/>
    <w:semiHidden/>
    <w:unhideWhenUsed/>
    <w:qFormat/>
    <w:rsid w:val="00D96C55"/>
    <w:pPr>
      <w:keepNext/>
      <w:keepLines/>
      <w:widowControl/>
      <w:spacing w:before="40"/>
      <w:jc w:val="left"/>
      <w:outlineLvl w:val="6"/>
    </w:pPr>
    <w:rPr>
      <w:rFonts w:asciiTheme="minorHAnsi" w:eastAsiaTheme="majorEastAsia" w:hAnsiTheme="minorHAnsi" w:cstheme="majorBidi"/>
      <w:color w:val="595959" w:themeColor="text1" w:themeTint="A6"/>
      <w:lang w:val="en-CA" w:eastAsia="en-US"/>
      <w14:ligatures w14:val="standardContextual"/>
    </w:rPr>
  </w:style>
  <w:style w:type="paragraph" w:styleId="Heading8">
    <w:name w:val="heading 8"/>
    <w:basedOn w:val="Normal"/>
    <w:next w:val="Normal"/>
    <w:link w:val="Heading8Char"/>
    <w:uiPriority w:val="9"/>
    <w:semiHidden/>
    <w:unhideWhenUsed/>
    <w:qFormat/>
    <w:rsid w:val="00D96C55"/>
    <w:pPr>
      <w:keepNext/>
      <w:keepLines/>
      <w:widowControl/>
      <w:jc w:val="left"/>
      <w:outlineLvl w:val="7"/>
    </w:pPr>
    <w:rPr>
      <w:rFonts w:asciiTheme="minorHAnsi" w:eastAsiaTheme="majorEastAsia" w:hAnsiTheme="minorHAnsi" w:cstheme="majorBidi"/>
      <w:i/>
      <w:iCs/>
      <w:color w:val="272727" w:themeColor="text1" w:themeTint="D8"/>
      <w:lang w:val="en-CA" w:eastAsia="en-US"/>
      <w14:ligatures w14:val="standardContextual"/>
    </w:rPr>
  </w:style>
  <w:style w:type="paragraph" w:styleId="Heading9">
    <w:name w:val="heading 9"/>
    <w:basedOn w:val="Normal"/>
    <w:next w:val="Normal"/>
    <w:link w:val="Heading9Char"/>
    <w:uiPriority w:val="9"/>
    <w:semiHidden/>
    <w:unhideWhenUsed/>
    <w:qFormat/>
    <w:rsid w:val="00D96C55"/>
    <w:pPr>
      <w:keepNext/>
      <w:keepLines/>
      <w:widowControl/>
      <w:jc w:val="left"/>
      <w:outlineLvl w:val="8"/>
    </w:pPr>
    <w:rPr>
      <w:rFonts w:asciiTheme="minorHAnsi" w:eastAsiaTheme="majorEastAsia" w:hAnsiTheme="minorHAnsi" w:cstheme="majorBidi"/>
      <w:color w:val="272727" w:themeColor="text1" w:themeTint="D8"/>
      <w:lang w:val="en-C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C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C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6C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6C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6C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6C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6C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6C55"/>
    <w:pPr>
      <w:widowControl/>
      <w:spacing w:after="80"/>
      <w:contextualSpacing/>
      <w:jc w:val="left"/>
    </w:pPr>
    <w:rPr>
      <w:rFonts w:asciiTheme="majorHAnsi" w:eastAsiaTheme="majorEastAsia" w:hAnsiTheme="majorHAnsi" w:cstheme="majorBidi"/>
      <w:color w:val="auto"/>
      <w:spacing w:val="-10"/>
      <w:kern w:val="28"/>
      <w:sz w:val="56"/>
      <w:szCs w:val="56"/>
      <w:lang w:val="en-CA" w:eastAsia="en-US"/>
      <w14:ligatures w14:val="standardContextual"/>
    </w:rPr>
  </w:style>
  <w:style w:type="character" w:customStyle="1" w:styleId="TitleChar">
    <w:name w:val="Title Char"/>
    <w:basedOn w:val="DefaultParagraphFont"/>
    <w:link w:val="Title"/>
    <w:uiPriority w:val="10"/>
    <w:rsid w:val="00D96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C55"/>
    <w:pPr>
      <w:widowControl/>
      <w:numPr>
        <w:ilvl w:val="1"/>
      </w:numPr>
      <w:spacing w:after="160"/>
      <w:jc w:val="left"/>
    </w:pPr>
    <w:rPr>
      <w:rFonts w:asciiTheme="minorHAnsi" w:eastAsiaTheme="majorEastAsia" w:hAnsiTheme="minorHAnsi" w:cstheme="majorBidi"/>
      <w:color w:val="595959" w:themeColor="text1" w:themeTint="A6"/>
      <w:spacing w:val="15"/>
      <w:sz w:val="28"/>
      <w:szCs w:val="28"/>
      <w:lang w:val="en-CA" w:eastAsia="en-US"/>
      <w14:ligatures w14:val="standardContextual"/>
    </w:rPr>
  </w:style>
  <w:style w:type="character" w:customStyle="1" w:styleId="SubtitleChar">
    <w:name w:val="Subtitle Char"/>
    <w:basedOn w:val="DefaultParagraphFont"/>
    <w:link w:val="Subtitle"/>
    <w:uiPriority w:val="11"/>
    <w:rsid w:val="00D96C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6C55"/>
    <w:pPr>
      <w:widowControl/>
      <w:spacing w:before="160" w:after="160"/>
      <w:jc w:val="center"/>
    </w:pPr>
    <w:rPr>
      <w:rFonts w:eastAsiaTheme="minorHAnsi"/>
      <w:i/>
      <w:iCs/>
      <w:color w:val="404040" w:themeColor="text1" w:themeTint="BF"/>
      <w:lang w:val="en-CA" w:eastAsia="en-US"/>
      <w14:ligatures w14:val="standardContextual"/>
    </w:rPr>
  </w:style>
  <w:style w:type="character" w:customStyle="1" w:styleId="QuoteChar">
    <w:name w:val="Quote Char"/>
    <w:basedOn w:val="DefaultParagraphFont"/>
    <w:link w:val="Quote"/>
    <w:uiPriority w:val="29"/>
    <w:rsid w:val="00D96C55"/>
    <w:rPr>
      <w:i/>
      <w:iCs/>
      <w:color w:val="404040" w:themeColor="text1" w:themeTint="BF"/>
    </w:rPr>
  </w:style>
  <w:style w:type="paragraph" w:styleId="ListParagraph">
    <w:name w:val="List Paragraph"/>
    <w:basedOn w:val="Normal"/>
    <w:uiPriority w:val="34"/>
    <w:qFormat/>
    <w:rsid w:val="00D96C55"/>
    <w:pPr>
      <w:widowControl/>
      <w:ind w:left="720"/>
      <w:contextualSpacing/>
      <w:jc w:val="left"/>
    </w:pPr>
    <w:rPr>
      <w:rFonts w:eastAsiaTheme="minorHAnsi"/>
      <w:color w:val="auto"/>
      <w:lang w:val="en-CA" w:eastAsia="en-US"/>
      <w14:ligatures w14:val="standardContextual"/>
    </w:rPr>
  </w:style>
  <w:style w:type="character" w:styleId="IntenseEmphasis">
    <w:name w:val="Intense Emphasis"/>
    <w:basedOn w:val="DefaultParagraphFont"/>
    <w:uiPriority w:val="21"/>
    <w:qFormat/>
    <w:rsid w:val="00D96C55"/>
    <w:rPr>
      <w:i/>
      <w:iCs/>
      <w:color w:val="0F4761" w:themeColor="accent1" w:themeShade="BF"/>
    </w:rPr>
  </w:style>
  <w:style w:type="paragraph" w:styleId="IntenseQuote">
    <w:name w:val="Intense Quote"/>
    <w:basedOn w:val="Normal"/>
    <w:next w:val="Normal"/>
    <w:link w:val="IntenseQuoteChar"/>
    <w:uiPriority w:val="30"/>
    <w:qFormat/>
    <w:rsid w:val="00D96C55"/>
    <w:pPr>
      <w:widowControl/>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val="en-CA" w:eastAsia="en-US"/>
      <w14:ligatures w14:val="standardContextual"/>
    </w:rPr>
  </w:style>
  <w:style w:type="character" w:customStyle="1" w:styleId="IntenseQuoteChar">
    <w:name w:val="Intense Quote Char"/>
    <w:basedOn w:val="DefaultParagraphFont"/>
    <w:link w:val="IntenseQuote"/>
    <w:uiPriority w:val="30"/>
    <w:rsid w:val="00D96C55"/>
    <w:rPr>
      <w:i/>
      <w:iCs/>
      <w:color w:val="0F4761" w:themeColor="accent1" w:themeShade="BF"/>
    </w:rPr>
  </w:style>
  <w:style w:type="character" w:styleId="IntenseReference">
    <w:name w:val="Intense Reference"/>
    <w:basedOn w:val="DefaultParagraphFont"/>
    <w:uiPriority w:val="32"/>
    <w:qFormat/>
    <w:rsid w:val="00D96C55"/>
    <w:rPr>
      <w:b/>
      <w:bCs/>
      <w:smallCaps/>
      <w:color w:val="0F4761" w:themeColor="accent1" w:themeShade="BF"/>
      <w:spacing w:val="5"/>
    </w:rPr>
  </w:style>
  <w:style w:type="character" w:styleId="CommentReference">
    <w:name w:val="annotation reference"/>
    <w:basedOn w:val="DefaultParagraphFont"/>
    <w:uiPriority w:val="99"/>
    <w:rsid w:val="00D96C55"/>
    <w:rPr>
      <w:sz w:val="18"/>
    </w:rPr>
  </w:style>
  <w:style w:type="paragraph" w:styleId="CommentText">
    <w:name w:val="annotation text"/>
    <w:aliases w:val=" Char Char Char,Char Char Char,Char Char Char Char,Comment Text Char Char Char,Comment Text Char Char Char Char Char,Comment Text Char Char Char Char Char Char,Comment Text Char Char Char Char Char Char Char Char,Comment Text Char1 Char"/>
    <w:basedOn w:val="Normal"/>
    <w:link w:val="CommentTextChar"/>
    <w:uiPriority w:val="99"/>
    <w:qFormat/>
    <w:rsid w:val="00D96C55"/>
    <w:pPr>
      <w:jc w:val="left"/>
    </w:pPr>
    <w:rPr>
      <w:rFonts w:ascii="Calibri" w:eastAsia="Calibri" w:hAnsi="Calibri" w:cs="Calibri"/>
      <w:sz w:val="20"/>
    </w:rPr>
  </w:style>
  <w:style w:type="character" w:customStyle="1" w:styleId="CommentTextChar">
    <w:name w:val="Comment Text Char"/>
    <w:aliases w:val=" Char Char Char Char,Char Char Char Char1,Char Char Char Char Char,Comment Text Char Char Char Char,Comment Text Char Char Char Char Char Char1,Comment Text Char Char Char Char Char Char Char,Comment Text Char1 Char Char"/>
    <w:basedOn w:val="DefaultParagraphFont"/>
    <w:link w:val="CommentText"/>
    <w:uiPriority w:val="99"/>
    <w:qFormat/>
    <w:rsid w:val="00D96C55"/>
    <w:rPr>
      <w:rFonts w:ascii="Calibri" w:eastAsia="Calibri" w:hAnsi="Calibri" w:cs="Calibri"/>
      <w:color w:val="000000" w:themeColor="text1"/>
      <w:sz w:val="20"/>
      <w:lang w:val="" w:eastAsia="ja-JP"/>
      <w14:ligatures w14:val="none"/>
    </w:rPr>
  </w:style>
  <w:style w:type="character" w:styleId="LineNumber">
    <w:name w:val="line number"/>
    <w:basedOn w:val="DefaultParagraphFont"/>
    <w:uiPriority w:val="99"/>
    <w:semiHidden/>
    <w:unhideWhenUsed/>
    <w:rsid w:val="00D96C55"/>
  </w:style>
  <w:style w:type="paragraph" w:styleId="Header">
    <w:name w:val="header"/>
    <w:basedOn w:val="Normal"/>
    <w:link w:val="HeaderChar"/>
    <w:uiPriority w:val="99"/>
    <w:unhideWhenUsed/>
    <w:rsid w:val="00D96C55"/>
    <w:pPr>
      <w:tabs>
        <w:tab w:val="center" w:pos="4680"/>
        <w:tab w:val="right" w:pos="9360"/>
      </w:tabs>
    </w:pPr>
  </w:style>
  <w:style w:type="character" w:customStyle="1" w:styleId="HeaderChar">
    <w:name w:val="Header Char"/>
    <w:basedOn w:val="DefaultParagraphFont"/>
    <w:link w:val="Header"/>
    <w:uiPriority w:val="99"/>
    <w:rsid w:val="00D96C55"/>
    <w:rPr>
      <w:rFonts w:eastAsiaTheme="minorEastAsia"/>
      <w:color w:val="000000" w:themeColor="text1"/>
      <w:lang w:val="" w:eastAsia="ja-JP"/>
      <w14:ligatures w14:val="none"/>
    </w:rPr>
  </w:style>
  <w:style w:type="paragraph" w:styleId="Footer">
    <w:name w:val="footer"/>
    <w:basedOn w:val="Normal"/>
    <w:link w:val="FooterChar"/>
    <w:uiPriority w:val="99"/>
    <w:unhideWhenUsed/>
    <w:rsid w:val="00D96C55"/>
    <w:pPr>
      <w:tabs>
        <w:tab w:val="center" w:pos="4680"/>
        <w:tab w:val="right" w:pos="9360"/>
      </w:tabs>
    </w:pPr>
  </w:style>
  <w:style w:type="character" w:customStyle="1" w:styleId="FooterChar">
    <w:name w:val="Footer Char"/>
    <w:basedOn w:val="DefaultParagraphFont"/>
    <w:link w:val="Footer"/>
    <w:uiPriority w:val="99"/>
    <w:rsid w:val="00D96C55"/>
    <w:rPr>
      <w:rFonts w:eastAsiaTheme="minorEastAsia"/>
      <w:color w:val="000000" w:themeColor="text1"/>
      <w:lang w:val="" w:eastAsia="ja-JP"/>
      <w14:ligatures w14:val="none"/>
    </w:rPr>
  </w:style>
  <w:style w:type="table" w:customStyle="1" w:styleId="OldDefaultTableStyle">
    <w:name w:val="Old Default Table Style"/>
    <w:rsid w:val="00D96C55"/>
    <w:rPr>
      <w:color w:val="000000" w:themeColor="text1"/>
      <w:lang w:val="en-US" w:eastAsia="ja-JP"/>
      <w14:ligatures w14:val="none"/>
    </w:rPr>
    <w:tblPr>
      <w:tblOverlap w:val="never"/>
      <w:tblCellMar>
        <w:top w:w="0" w:type="dxa"/>
        <w:left w:w="10" w:type="dxa"/>
        <w:bottom w:w="0" w:type="dxa"/>
        <w:right w:w="10" w:type="dxa"/>
      </w:tblCellMar>
    </w:tblPr>
  </w:style>
  <w:style w:type="character" w:styleId="Hyperlink">
    <w:name w:val="Hyperlink"/>
    <w:basedOn w:val="DefaultParagraphFont"/>
    <w:rsid w:val="00D96C55"/>
    <w:rPr>
      <w:color w:val="0563C1"/>
      <w:u w:val="single"/>
    </w:rPr>
  </w:style>
  <w:style w:type="paragraph" w:customStyle="1" w:styleId="pf0">
    <w:name w:val="pf0"/>
    <w:basedOn w:val="Normal"/>
    <w:rsid w:val="00596D8A"/>
    <w:pPr>
      <w:widowControl/>
      <w:spacing w:before="100" w:beforeAutospacing="1" w:after="100" w:afterAutospacing="1"/>
      <w:jc w:val="left"/>
    </w:pPr>
    <w:rPr>
      <w:rFonts w:eastAsia="Times New Roman"/>
      <w:color w:val="auto"/>
      <w:kern w:val="0"/>
      <w:lang w:val="en-CA" w:eastAsia="en-CA"/>
    </w:rPr>
  </w:style>
  <w:style w:type="character" w:customStyle="1" w:styleId="cf01">
    <w:name w:val="cf01"/>
    <w:basedOn w:val="DefaultParagraphFont"/>
    <w:rsid w:val="00596D8A"/>
    <w:rPr>
      <w:rFonts w:ascii="Segoe UI" w:hAnsi="Segoe UI" w:cs="Segoe UI" w:hint="default"/>
      <w:sz w:val="18"/>
      <w:szCs w:val="18"/>
    </w:rPr>
  </w:style>
  <w:style w:type="character" w:customStyle="1" w:styleId="cf11">
    <w:name w:val="cf11"/>
    <w:basedOn w:val="DefaultParagraphFont"/>
    <w:rsid w:val="00596D8A"/>
    <w:rPr>
      <w:rFonts w:ascii="Segoe UI" w:hAnsi="Segoe UI" w:cs="Segoe UI" w:hint="default"/>
      <w:sz w:val="18"/>
      <w:szCs w:val="18"/>
    </w:rPr>
  </w:style>
  <w:style w:type="character" w:customStyle="1" w:styleId="cf21">
    <w:name w:val="cf21"/>
    <w:basedOn w:val="DefaultParagraphFont"/>
    <w:rsid w:val="00596D8A"/>
    <w:rPr>
      <w:rFonts w:ascii="Segoe UI" w:hAnsi="Segoe UI" w:cs="Segoe UI" w:hint="default"/>
      <w:i/>
      <w:iCs/>
      <w:sz w:val="18"/>
      <w:szCs w:val="18"/>
    </w:rPr>
  </w:style>
  <w:style w:type="paragraph" w:styleId="CommentSubject">
    <w:name w:val="annotation subject"/>
    <w:basedOn w:val="CommentText"/>
    <w:next w:val="CommentText"/>
    <w:link w:val="CommentSubjectChar"/>
    <w:uiPriority w:val="99"/>
    <w:semiHidden/>
    <w:unhideWhenUsed/>
    <w:rsid w:val="00167B87"/>
    <w:pPr>
      <w:jc w:val="both"/>
    </w:pPr>
    <w:rPr>
      <w:rFonts w:ascii="Times New Roman" w:eastAsiaTheme="minorEastAsia" w:hAnsi="Times New Roman" w:cs="Times New Roman"/>
      <w:b/>
      <w:bCs/>
      <w:szCs w:val="20"/>
    </w:rPr>
  </w:style>
  <w:style w:type="character" w:customStyle="1" w:styleId="CommentSubjectChar">
    <w:name w:val="Comment Subject Char"/>
    <w:basedOn w:val="CommentTextChar"/>
    <w:link w:val="CommentSubject"/>
    <w:uiPriority w:val="99"/>
    <w:semiHidden/>
    <w:rsid w:val="00167B87"/>
    <w:rPr>
      <w:rFonts w:ascii="Calibri" w:eastAsiaTheme="minorEastAsia" w:hAnsi="Calibri" w:cs="Calibri"/>
      <w:b/>
      <w:bCs/>
      <w:color w:val="000000" w:themeColor="text1"/>
      <w:sz w:val="20"/>
      <w:szCs w:val="20"/>
      <w:lang w:val="" w:eastAsia="ja-JP"/>
      <w14:ligatures w14:val="none"/>
    </w:rPr>
  </w:style>
  <w:style w:type="character" w:customStyle="1" w:styleId="highwire-cite-metadata-doi">
    <w:name w:val="highwire-cite-metadata-doi"/>
    <w:rsid w:val="004B711E"/>
  </w:style>
  <w:style w:type="character" w:customStyle="1" w:styleId="epub-sectionitem">
    <w:name w:val="epub-section__item"/>
    <w:rsid w:val="004B711E"/>
  </w:style>
  <w:style w:type="paragraph" w:styleId="Revision">
    <w:name w:val="Revision"/>
    <w:hidden/>
    <w:uiPriority w:val="99"/>
    <w:semiHidden/>
    <w:rsid w:val="005B39DF"/>
    <w:rPr>
      <w:color w:val="000000" w:themeColor="text1"/>
      <w:lang w:val="" w:eastAsia="ja-JP"/>
      <w14:ligatures w14:val="none"/>
    </w:rPr>
  </w:style>
  <w:style w:type="character" w:styleId="UnresolvedMention">
    <w:name w:val="Unresolved Mention"/>
    <w:basedOn w:val="DefaultParagraphFont"/>
    <w:uiPriority w:val="99"/>
    <w:semiHidden/>
    <w:unhideWhenUsed/>
    <w:rsid w:val="006F551B"/>
    <w:rPr>
      <w:color w:val="605E5C"/>
      <w:shd w:val="clear" w:color="auto" w:fill="E1DFDD"/>
    </w:rPr>
  </w:style>
  <w:style w:type="character" w:styleId="FollowedHyperlink">
    <w:name w:val="FollowedHyperlink"/>
    <w:basedOn w:val="DefaultParagraphFont"/>
    <w:uiPriority w:val="99"/>
    <w:semiHidden/>
    <w:unhideWhenUsed/>
    <w:rsid w:val="00C05BAF"/>
    <w:rPr>
      <w:color w:val="96607D" w:themeColor="followedHyperlink"/>
      <w:u w:val="single"/>
    </w:rPr>
  </w:style>
  <w:style w:type="paragraph" w:styleId="NormalWeb">
    <w:name w:val="Normal (Web)"/>
    <w:basedOn w:val="Normal"/>
    <w:uiPriority w:val="99"/>
    <w:semiHidden/>
    <w:unhideWhenUsed/>
    <w:rsid w:val="0056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103">
      <w:bodyDiv w:val="1"/>
      <w:marLeft w:val="0"/>
      <w:marRight w:val="0"/>
      <w:marTop w:val="0"/>
      <w:marBottom w:val="0"/>
      <w:divBdr>
        <w:top w:val="none" w:sz="0" w:space="0" w:color="auto"/>
        <w:left w:val="none" w:sz="0" w:space="0" w:color="auto"/>
        <w:bottom w:val="none" w:sz="0" w:space="0" w:color="auto"/>
        <w:right w:val="none" w:sz="0" w:space="0" w:color="auto"/>
      </w:divBdr>
    </w:div>
    <w:div w:id="612324957">
      <w:bodyDiv w:val="1"/>
      <w:marLeft w:val="0"/>
      <w:marRight w:val="0"/>
      <w:marTop w:val="0"/>
      <w:marBottom w:val="0"/>
      <w:divBdr>
        <w:top w:val="none" w:sz="0" w:space="0" w:color="auto"/>
        <w:left w:val="none" w:sz="0" w:space="0" w:color="auto"/>
        <w:bottom w:val="none" w:sz="0" w:space="0" w:color="auto"/>
        <w:right w:val="none" w:sz="0" w:space="0" w:color="auto"/>
      </w:divBdr>
    </w:div>
    <w:div w:id="749546924">
      <w:bodyDiv w:val="1"/>
      <w:marLeft w:val="0"/>
      <w:marRight w:val="0"/>
      <w:marTop w:val="0"/>
      <w:marBottom w:val="0"/>
      <w:divBdr>
        <w:top w:val="none" w:sz="0" w:space="0" w:color="auto"/>
        <w:left w:val="none" w:sz="0" w:space="0" w:color="auto"/>
        <w:bottom w:val="none" w:sz="0" w:space="0" w:color="auto"/>
        <w:right w:val="none" w:sz="0" w:space="0" w:color="auto"/>
      </w:divBdr>
    </w:div>
    <w:div w:id="1100026109">
      <w:bodyDiv w:val="1"/>
      <w:marLeft w:val="0"/>
      <w:marRight w:val="0"/>
      <w:marTop w:val="0"/>
      <w:marBottom w:val="0"/>
      <w:divBdr>
        <w:top w:val="none" w:sz="0" w:space="0" w:color="auto"/>
        <w:left w:val="none" w:sz="0" w:space="0" w:color="auto"/>
        <w:bottom w:val="none" w:sz="0" w:space="0" w:color="auto"/>
        <w:right w:val="none" w:sz="0" w:space="0" w:color="auto"/>
      </w:divBdr>
    </w:div>
    <w:div w:id="1363744691">
      <w:bodyDiv w:val="1"/>
      <w:marLeft w:val="0"/>
      <w:marRight w:val="0"/>
      <w:marTop w:val="0"/>
      <w:marBottom w:val="0"/>
      <w:divBdr>
        <w:top w:val="none" w:sz="0" w:space="0" w:color="auto"/>
        <w:left w:val="none" w:sz="0" w:space="0" w:color="auto"/>
        <w:bottom w:val="none" w:sz="0" w:space="0" w:color="auto"/>
        <w:right w:val="none" w:sz="0" w:space="0" w:color="auto"/>
      </w:divBdr>
    </w:div>
    <w:div w:id="1661348802">
      <w:bodyDiv w:val="1"/>
      <w:marLeft w:val="0"/>
      <w:marRight w:val="0"/>
      <w:marTop w:val="0"/>
      <w:marBottom w:val="0"/>
      <w:divBdr>
        <w:top w:val="none" w:sz="0" w:space="0" w:color="auto"/>
        <w:left w:val="none" w:sz="0" w:space="0" w:color="auto"/>
        <w:bottom w:val="none" w:sz="0" w:space="0" w:color="auto"/>
        <w:right w:val="none" w:sz="0" w:space="0" w:color="auto"/>
      </w:divBdr>
    </w:div>
    <w:div w:id="16756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62-018-0378-4" TargetMode="External"/><Relationship Id="rId18" Type="http://schemas.openxmlformats.org/officeDocument/2006/relationships/hyperlink" Target="https://doi.org/10.1098/rspb.2020.0819" TargetMode="External"/><Relationship Id="rId26" Type="http://schemas.openxmlformats.org/officeDocument/2006/relationships/hyperlink" Target="https://doi.org/10.1098/rspb.2006.3571" TargetMode="External"/><Relationship Id="rId39" Type="http://schemas.openxmlformats.org/officeDocument/2006/relationships/hyperlink" Target="https://doi.org/10.1098/rsbl.2010.0209" TargetMode="External"/><Relationship Id="rId21" Type="http://schemas.openxmlformats.org/officeDocument/2006/relationships/hyperlink" Target="https://doi.org/10.1037/xge0001137" TargetMode="External"/><Relationship Id="rId34" Type="http://schemas.openxmlformats.org/officeDocument/2006/relationships/hyperlink" Target="https://doi.org/10.1098/rsos.160510" TargetMode="External"/><Relationship Id="rId42" Type="http://schemas.openxmlformats.org/officeDocument/2006/relationships/theme" Target="theme/theme1.xml"/><Relationship Id="rId7" Type="http://schemas.openxmlformats.org/officeDocument/2006/relationships/hyperlink" Target="https://osf.io/hwzd4" TargetMode="External"/><Relationship Id="rId2" Type="http://schemas.openxmlformats.org/officeDocument/2006/relationships/styles" Target="styles.xml"/><Relationship Id="rId16" Type="http://schemas.openxmlformats.org/officeDocument/2006/relationships/hyperlink" Target="https://doi.org/10.1016/j.evolhumbehav.2013.02.002" TargetMode="External"/><Relationship Id="rId20" Type="http://schemas.openxmlformats.org/officeDocument/2006/relationships/hyperlink" Target="https://doi.org/10.1098/rspb.2006.0209" TargetMode="External"/><Relationship Id="rId29" Type="http://schemas.openxmlformats.org/officeDocument/2006/relationships/hyperlink" Target="https://doi.org/10.1038/nature0645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098/rspb.2001.1900" TargetMode="External"/><Relationship Id="rId32" Type="http://schemas.openxmlformats.org/officeDocument/2006/relationships/hyperlink" Target="https://doi.org/10.1007/BF00167053" TargetMode="External"/><Relationship Id="rId37" Type="http://schemas.openxmlformats.org/officeDocument/2006/relationships/hyperlink" Target="https://doi.org/10.1093/beheco/12.3.313"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jtbi.2011.04.023" TargetMode="External"/><Relationship Id="rId23" Type="http://schemas.openxmlformats.org/officeDocument/2006/relationships/hyperlink" Target="https://doi.org/10.3758/BF03193146" TargetMode="External"/><Relationship Id="rId28" Type="http://schemas.openxmlformats.org/officeDocument/2006/relationships/hyperlink" Target="https://doi.org/10.1098/rspb.2002.2235" TargetMode="External"/><Relationship Id="rId36" Type="http://schemas.openxmlformats.org/officeDocument/2006/relationships/hyperlink" Target="https://doi.org/10.1111/brv.12248" TargetMode="External"/><Relationship Id="rId10" Type="http://schemas.openxmlformats.org/officeDocument/2006/relationships/image" Target="media/image1.png"/><Relationship Id="rId19" Type="http://schemas.openxmlformats.org/officeDocument/2006/relationships/hyperlink" Target="https://doi.org/10.1016/j.jenvp.2020.101441" TargetMode="External"/><Relationship Id="rId31" Type="http://schemas.openxmlformats.org/officeDocument/2006/relationships/hyperlink" Target="https://doi.org/10.1098/rstb.2010.0159" TargetMode="External"/><Relationship Id="rId4" Type="http://schemas.openxmlformats.org/officeDocument/2006/relationships/webSettings" Target="webSettings.xml"/><Relationship Id="rId9" Type="http://schemas.openxmlformats.org/officeDocument/2006/relationships/hyperlink" Target="https://osf.io/274ej/?view_only=85fa9b198df148e68fca3cc18d6a3ddb" TargetMode="External"/><Relationship Id="rId14" Type="http://schemas.openxmlformats.org/officeDocument/2006/relationships/hyperlink" Target="https://doi.org/10.1016/j.evolhumbehav.2004.04.002" TargetMode="External"/><Relationship Id="rId22" Type="http://schemas.openxmlformats.org/officeDocument/2006/relationships/hyperlink" Target="https://doi.org/10.1177/17456916211071087" TargetMode="External"/><Relationship Id="rId27" Type="http://schemas.openxmlformats.org/officeDocument/2006/relationships/hyperlink" Target="https://doi.org/10.1016/0162-3095(93)90009-7" TargetMode="External"/><Relationship Id="rId30" Type="http://schemas.openxmlformats.org/officeDocument/2006/relationships/hyperlink" Target="https://www.nature.com/articles/nature02432" TargetMode="External"/><Relationship Id="rId35" Type="http://schemas.openxmlformats.org/officeDocument/2006/relationships/hyperlink" Target="https://doi.org/10.1098/rstb.2020.0290" TargetMode="External"/><Relationship Id="rId8" Type="http://schemas.openxmlformats.org/officeDocument/2006/relationships/hyperlink" Target="https://osf.io/8jt7s" TargetMode="External"/><Relationship Id="rId3" Type="http://schemas.openxmlformats.org/officeDocument/2006/relationships/settings" Target="settings.xml"/><Relationship Id="rId12" Type="http://schemas.openxmlformats.org/officeDocument/2006/relationships/hyperlink" Target="https://osf.io/274ej/?view_only=85fa9b198df148e68fca3cc18d6a3ddb" TargetMode="External"/><Relationship Id="rId17" Type="http://schemas.openxmlformats.org/officeDocument/2006/relationships/hyperlink" Target="https://doi.org/10.1016/j.copsyc.2015.07.012" TargetMode="External"/><Relationship Id="rId25" Type="http://schemas.openxmlformats.org/officeDocument/2006/relationships/hyperlink" Target="https://doi.org/10.1016/j.tics.2006.11.005" TargetMode="External"/><Relationship Id="rId33" Type="http://schemas.openxmlformats.org/officeDocument/2006/relationships/hyperlink" Target="https://doi.org/10.1016/S0169-5347(00)89123-5" TargetMode="External"/><Relationship Id="rId38" Type="http://schemas.openxmlformats.org/officeDocument/2006/relationships/hyperlink" Target="https://doi.org/10.1016/j.evolhumbehav.2020.07.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B2FD-443B-42A4-A97A-9A68DBC2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4371</Words>
  <Characters>24918</Characters>
  <Application>Microsoft Office Word</Application>
  <DocSecurity>0</DocSecurity>
  <Lines>207</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Barclay</dc:creator>
  <cp:keywords/>
  <dc:description/>
  <cp:lastModifiedBy>Pat Barclay</cp:lastModifiedBy>
  <cp:revision>3</cp:revision>
  <cp:lastPrinted>2025-06-14T09:45:00Z</cp:lastPrinted>
  <dcterms:created xsi:type="dcterms:W3CDTF">2025-07-04T02:15:00Z</dcterms:created>
  <dcterms:modified xsi:type="dcterms:W3CDTF">2025-07-04T02:20:00Z</dcterms:modified>
</cp:coreProperties>
</file>